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1A3A" w14:textId="77777777" w:rsidR="00237813" w:rsidRPr="00837C9B" w:rsidRDefault="00237813" w:rsidP="00237813">
      <w:pPr>
        <w:pStyle w:val="Heading3"/>
        <w:rPr>
          <w:rFonts w:ascii="Arial" w:hAnsi="Arial" w:cs="Arial"/>
        </w:rPr>
      </w:pPr>
      <w:bookmarkStart w:id="0" w:name="_Toc426443344"/>
      <w:r w:rsidRPr="00837C9B">
        <w:rPr>
          <w:rFonts w:ascii="Arial" w:hAnsi="Arial" w:cs="Arial"/>
        </w:rPr>
        <w:t>Downtime Contingency Checklist</w:t>
      </w:r>
      <w:bookmarkEnd w:id="0"/>
    </w:p>
    <w:p w14:paraId="39DC2539" w14:textId="77777777" w:rsidR="00237813" w:rsidRPr="00837C9B" w:rsidRDefault="00237813" w:rsidP="00237813">
      <w:pPr>
        <w:spacing w:after="0" w:line="240" w:lineRule="auto"/>
        <w:rPr>
          <w:rFonts w:ascii="Arial" w:hAnsi="Arial" w:cs="Arial"/>
          <w:color w:val="000000"/>
        </w:rPr>
      </w:pPr>
      <w:r w:rsidRPr="00837C9B">
        <w:rPr>
          <w:rFonts w:ascii="Arial" w:eastAsia="Times New Roman" w:hAnsi="Arial" w:cs="Arial"/>
          <w:b/>
          <w:bCs/>
          <w:color w:val="000000"/>
          <w:sz w:val="24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1"/>
      </w:tblGrid>
      <w:tr w:rsidR="00237813" w:rsidRPr="00837C9B" w14:paraId="11C12B22" w14:textId="77777777" w:rsidTr="0057449B">
        <w:trPr>
          <w:cantSplit/>
          <w:trHeight w:hRule="exact" w:val="8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4D8CC2D0" w14:textId="77777777" w:rsidR="00237813" w:rsidRPr="00837C9B" w:rsidRDefault="00237813" w:rsidP="0057449B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 xml:space="preserve">Downtime Immediate </w:t>
            </w:r>
            <w:r w:rsidRPr="00837C9B">
              <w:rPr>
                <w:rFonts w:ascii="Arial" w:hAnsi="Arial" w:cs="Arial"/>
                <w:b/>
                <w:bCs/>
                <w:sz w:val="20"/>
              </w:rPr>
              <w:t>Response (During a downtime event)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2C1A8DDD" w14:textId="52E3C0AE" w:rsidR="00237813" w:rsidRPr="00837C9B" w:rsidRDefault="00D119CF" w:rsidP="0057449B">
            <w:pPr>
              <w:spacing w:before="240"/>
              <w:jc w:val="center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  <w:noProof/>
              </w:rPr>
              <w:t>Notes</w:t>
            </w:r>
          </w:p>
        </w:tc>
      </w:tr>
      <w:tr w:rsidR="00237813" w:rsidRPr="00837C9B" w14:paraId="3B4482FD" w14:textId="77777777" w:rsidTr="002442EC">
        <w:trPr>
          <w:cantSplit/>
          <w:trHeight w:hRule="exact" w:val="432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74A5" w14:textId="77777777" w:rsidR="00237813" w:rsidRPr="00837C9B" w:rsidRDefault="00237813" w:rsidP="006222E9">
            <w:pPr>
              <w:spacing w:after="0" w:line="24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1</w:t>
            </w:r>
            <w:r w:rsidRPr="00837C9B">
              <w:rPr>
                <w:rFonts w:ascii="Arial" w:hAnsi="Arial" w:cs="Arial"/>
              </w:rPr>
              <w:t xml:space="preserve"> – Assess the downtime </w:t>
            </w:r>
            <w:proofErr w:type="gramStart"/>
            <w:r w:rsidRPr="00837C9B">
              <w:rPr>
                <w:rFonts w:ascii="Arial" w:hAnsi="Arial" w:cs="Arial"/>
              </w:rPr>
              <w:t>event</w:t>
            </w:r>
            <w:proofErr w:type="gramEnd"/>
          </w:p>
          <w:p w14:paraId="38A7A7BF" w14:textId="77777777" w:rsidR="00237813" w:rsidRPr="00837C9B" w:rsidRDefault="00237813" w:rsidP="006222E9">
            <w:pPr>
              <w:spacing w:after="0" w:line="240" w:lineRule="auto"/>
              <w:rPr>
                <w:rFonts w:ascii="Arial" w:hAnsi="Arial" w:cs="Arial"/>
              </w:rPr>
            </w:pPr>
          </w:p>
          <w:p w14:paraId="12DB2102" w14:textId="6D485AAB" w:rsidR="00237813" w:rsidRPr="00837C9B" w:rsidRDefault="00237813" w:rsidP="006222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Determine whether you have internet connectivity.</w:t>
            </w:r>
            <w:r w:rsidR="0057449B" w:rsidRPr="00837C9B">
              <w:rPr>
                <w:rFonts w:ascii="Arial" w:hAnsi="Arial" w:cs="Arial"/>
              </w:rPr>
              <w:t xml:space="preserve"> </w:t>
            </w:r>
            <w:r w:rsidRPr="00837C9B">
              <w:rPr>
                <w:rFonts w:ascii="Arial" w:hAnsi="Arial" w:cs="Arial"/>
              </w:rPr>
              <w:t>Open internet browser to see if you can reach websites normally.</w:t>
            </w:r>
          </w:p>
          <w:p w14:paraId="7B8DFC4D" w14:textId="0D5F42BD" w:rsidR="00237813" w:rsidRPr="00837C9B" w:rsidRDefault="00237813" w:rsidP="006222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 xml:space="preserve">If you cannot access any internet functions, contact your ISP. If you are on the PPN, </w:t>
            </w:r>
            <w:r w:rsidR="005B10EA" w:rsidRPr="00837C9B">
              <w:rPr>
                <w:rFonts w:ascii="Arial" w:hAnsi="Arial" w:cs="Arial"/>
              </w:rPr>
              <w:t>first call your local IT, then your EMR vendor, and then TELUS. If you cannot resolve the issue, contact DTO.</w:t>
            </w:r>
          </w:p>
          <w:p w14:paraId="1115071E" w14:textId="77777777" w:rsidR="00237813" w:rsidRPr="00837C9B" w:rsidRDefault="00237813" w:rsidP="006222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If you can access internet functions and do not have EMR access, or if you’re unsure, contact your EMR vendor.</w:t>
            </w:r>
          </w:p>
          <w:p w14:paraId="6EBEC829" w14:textId="036DA545" w:rsidR="00237813" w:rsidRPr="00837C9B" w:rsidRDefault="00237813" w:rsidP="006222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 xml:space="preserve">Get ticket </w:t>
            </w:r>
            <w:r w:rsidR="0057449B" w:rsidRPr="00837C9B">
              <w:rPr>
                <w:rFonts w:ascii="Arial" w:hAnsi="Arial" w:cs="Arial"/>
              </w:rPr>
              <w:t>number</w:t>
            </w:r>
            <w:r w:rsidRPr="00837C9B">
              <w:rPr>
                <w:rFonts w:ascii="Arial" w:hAnsi="Arial" w:cs="Arial"/>
              </w:rPr>
              <w:t xml:space="preserve"> as </w:t>
            </w:r>
            <w:r w:rsidR="004B58EC" w:rsidRPr="00837C9B">
              <w:rPr>
                <w:rFonts w:ascii="Arial" w:hAnsi="Arial" w:cs="Arial"/>
              </w:rPr>
              <w:t>required. Establish</w:t>
            </w:r>
            <w:r w:rsidRPr="00837C9B">
              <w:rPr>
                <w:rFonts w:ascii="Arial" w:hAnsi="Arial" w:cs="Arial"/>
              </w:rPr>
              <w:t xml:space="preserve"> an estimate of when the issue will be resolved.</w:t>
            </w:r>
          </w:p>
          <w:p w14:paraId="2811CAED" w14:textId="77777777" w:rsidR="00237813" w:rsidRPr="00837C9B" w:rsidRDefault="00237813" w:rsidP="006222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Ask for a call back timeline on status updates.</w:t>
            </w:r>
          </w:p>
          <w:p w14:paraId="4DA2ADA7" w14:textId="2FF27193" w:rsidR="00237813" w:rsidRPr="00837C9B" w:rsidRDefault="00237813" w:rsidP="006222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 xml:space="preserve">Record the start time and details of downtime event in a simple </w:t>
            </w:r>
            <w:r w:rsidR="00CF5F2F" w:rsidRPr="00837C9B">
              <w:rPr>
                <w:rFonts w:ascii="Arial" w:hAnsi="Arial" w:cs="Arial"/>
              </w:rPr>
              <w:t>logbook</w:t>
            </w:r>
            <w:r w:rsidRPr="00837C9B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CB69" w14:textId="77777777" w:rsidR="00237813" w:rsidRPr="00837C9B" w:rsidRDefault="00237813" w:rsidP="00622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813" w:rsidRPr="00837C9B" w14:paraId="55350239" w14:textId="77777777" w:rsidTr="002442EC">
        <w:trPr>
          <w:cantSplit/>
          <w:trHeight w:hRule="exact" w:val="91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09E3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2</w:t>
            </w:r>
            <w:r w:rsidRPr="00837C9B">
              <w:rPr>
                <w:rFonts w:ascii="Arial" w:hAnsi="Arial" w:cs="Arial"/>
              </w:rPr>
              <w:t xml:space="preserve"> – Notify all clinic staff and physicians of the downtime event and ongoing status.</w:t>
            </w:r>
          </w:p>
          <w:p w14:paraId="22222B79" w14:textId="77777777" w:rsidR="00237813" w:rsidRPr="00837C9B" w:rsidRDefault="00237813" w:rsidP="006222E9">
            <w:pPr>
              <w:rPr>
                <w:rFonts w:ascii="Arial" w:hAnsi="Arial" w:cs="Arial"/>
              </w:rPr>
            </w:pPr>
          </w:p>
          <w:p w14:paraId="13EA8AEA" w14:textId="77777777" w:rsidR="00237813" w:rsidRPr="00837C9B" w:rsidRDefault="00237813" w:rsidP="006222E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F133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813" w:rsidRPr="00837C9B" w14:paraId="33F48CDE" w14:textId="77777777" w:rsidTr="006222E9">
        <w:trPr>
          <w:cantSplit/>
          <w:trHeight w:hRule="exact" w:val="302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698" w14:textId="3DC55CD5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 xml:space="preserve">Action 3 </w:t>
            </w:r>
            <w:r w:rsidR="0057449B" w:rsidRPr="00837C9B">
              <w:rPr>
                <w:rFonts w:ascii="Arial" w:hAnsi="Arial" w:cs="Arial"/>
              </w:rPr>
              <w:t>–</w:t>
            </w:r>
            <w:r w:rsidRPr="00837C9B">
              <w:rPr>
                <w:rFonts w:ascii="Arial" w:hAnsi="Arial" w:cs="Arial"/>
                <w:b/>
                <w:bCs/>
              </w:rPr>
              <w:t xml:space="preserve"> </w:t>
            </w:r>
            <w:r w:rsidRPr="00837C9B">
              <w:rPr>
                <w:rFonts w:ascii="Arial" w:hAnsi="Arial" w:cs="Arial"/>
              </w:rPr>
              <w:t>Contact your local IT vendor, if available</w:t>
            </w:r>
          </w:p>
          <w:p w14:paraId="17FC75A6" w14:textId="77777777" w:rsidR="0057449B" w:rsidRPr="00837C9B" w:rsidRDefault="00237813" w:rsidP="00574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Depending on the cause, you may need to retain your local IT to</w:t>
            </w:r>
            <w:r w:rsidR="004B58EC" w:rsidRPr="00837C9B">
              <w:rPr>
                <w:rFonts w:ascii="Arial" w:hAnsi="Arial" w:cs="Arial"/>
              </w:rPr>
              <w:t xml:space="preserve"> </w:t>
            </w:r>
            <w:r w:rsidRPr="00837C9B">
              <w:rPr>
                <w:rFonts w:ascii="Arial" w:hAnsi="Arial" w:cs="Arial"/>
              </w:rPr>
              <w:t>troubleshoot the issue.</w:t>
            </w:r>
          </w:p>
          <w:p w14:paraId="6B523EB3" w14:textId="4D3C47D9" w:rsidR="0057449B" w:rsidRPr="00837C9B" w:rsidRDefault="00237813" w:rsidP="00574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If your issue is not with the ISP or your EMR vendor, the issue will have to be resolved locally</w:t>
            </w:r>
            <w:r w:rsidR="0057449B" w:rsidRPr="00837C9B">
              <w:rPr>
                <w:rFonts w:ascii="Arial" w:hAnsi="Arial" w:cs="Arial"/>
              </w:rPr>
              <w:t>.</w:t>
            </w:r>
          </w:p>
          <w:p w14:paraId="393F0A55" w14:textId="7F689CBF" w:rsidR="00237813" w:rsidRPr="00837C9B" w:rsidRDefault="00237813" w:rsidP="00574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If you experienced a network outage and service has been restored, some appliances or devices may need to be reconfigured.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1C9" w14:textId="77777777" w:rsidR="00237813" w:rsidRPr="00837C9B" w:rsidRDefault="00237813" w:rsidP="006222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7813" w:rsidRPr="00837C9B" w14:paraId="21693708" w14:textId="77777777" w:rsidTr="002442EC">
        <w:trPr>
          <w:cantSplit/>
          <w:trHeight w:hRule="exact" w:val="298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FA1D" w14:textId="2A7BBFE8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lastRenderedPageBreak/>
              <w:t xml:space="preserve">Action 4 </w:t>
            </w:r>
            <w:r w:rsidRPr="00837C9B">
              <w:rPr>
                <w:rFonts w:ascii="Arial" w:hAnsi="Arial" w:cs="Arial"/>
              </w:rPr>
              <w:t xml:space="preserve">– </w:t>
            </w:r>
            <w:r w:rsidRPr="00763CF2">
              <w:rPr>
                <w:rFonts w:ascii="Arial" w:hAnsi="Arial" w:cs="Arial"/>
              </w:rPr>
              <w:t xml:space="preserve">If the outage will last more than </w:t>
            </w:r>
            <w:r w:rsidR="0057449B" w:rsidRPr="00763CF2">
              <w:rPr>
                <w:rFonts w:ascii="Arial" w:hAnsi="Arial" w:cs="Arial"/>
              </w:rPr>
              <w:t>one</w:t>
            </w:r>
            <w:r w:rsidRPr="00763CF2">
              <w:rPr>
                <w:rFonts w:ascii="Arial" w:hAnsi="Arial" w:cs="Arial"/>
              </w:rPr>
              <w:t xml:space="preserve"> day, notify external stakeholders</w:t>
            </w:r>
            <w:r w:rsidR="00763CF2">
              <w:rPr>
                <w:rFonts w:ascii="Arial" w:hAnsi="Arial" w:cs="Arial"/>
              </w:rPr>
              <w:t xml:space="preserve"> and/or</w:t>
            </w:r>
            <w:r w:rsidRPr="00763CF2">
              <w:rPr>
                <w:rFonts w:ascii="Arial" w:hAnsi="Arial" w:cs="Arial"/>
              </w:rPr>
              <w:t xml:space="preserve"> results delivery providers</w:t>
            </w:r>
            <w:r w:rsidRPr="00837C9B">
              <w:rPr>
                <w:rFonts w:ascii="Arial" w:hAnsi="Arial" w:cs="Arial"/>
              </w:rPr>
              <w:t xml:space="preserve"> (</w:t>
            </w:r>
            <w:proofErr w:type="gramStart"/>
            <w:r w:rsidRPr="00837C9B">
              <w:rPr>
                <w:rFonts w:ascii="Arial" w:hAnsi="Arial" w:cs="Arial"/>
              </w:rPr>
              <w:t>e.g.</w:t>
            </w:r>
            <w:proofErr w:type="gramEnd"/>
            <w:r w:rsidRPr="00837C9B">
              <w:rPr>
                <w:rFonts w:ascii="Arial" w:hAnsi="Arial" w:cs="Arial"/>
              </w:rPr>
              <w:t xml:space="preserve"> </w:t>
            </w:r>
            <w:proofErr w:type="spellStart"/>
            <w:r w:rsidRPr="00837C9B">
              <w:rPr>
                <w:rFonts w:ascii="Arial" w:hAnsi="Arial" w:cs="Arial"/>
              </w:rPr>
              <w:t>Excelleris</w:t>
            </w:r>
            <w:proofErr w:type="spellEnd"/>
            <w:r w:rsidRPr="00837C9B">
              <w:rPr>
                <w:rFonts w:ascii="Arial" w:hAnsi="Arial" w:cs="Arial"/>
              </w:rPr>
              <w:t xml:space="preserve">, </w:t>
            </w:r>
            <w:proofErr w:type="spellStart"/>
            <w:r w:rsidRPr="00837C9B">
              <w:rPr>
                <w:rFonts w:ascii="Arial" w:hAnsi="Arial" w:cs="Arial"/>
              </w:rPr>
              <w:t>Medinet</w:t>
            </w:r>
            <w:proofErr w:type="spellEnd"/>
            <w:r w:rsidRPr="00837C9B">
              <w:rPr>
                <w:rFonts w:ascii="Arial" w:hAnsi="Arial" w:cs="Arial"/>
              </w:rPr>
              <w:t>, etc.) or other dependent health services of your downtime status and implement any pre-arranged strategies. Your results delivery provider will tell you of any requirements.</w:t>
            </w:r>
          </w:p>
          <w:p w14:paraId="1DA3FFBB" w14:textId="2F7CB01A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Most often</w:t>
            </w:r>
            <w:r w:rsidR="005B10EA" w:rsidRPr="00837C9B">
              <w:rPr>
                <w:rFonts w:ascii="Arial" w:hAnsi="Arial" w:cs="Arial"/>
              </w:rPr>
              <w:t xml:space="preserve"> these services</w:t>
            </w:r>
            <w:r w:rsidRPr="00837C9B">
              <w:rPr>
                <w:rFonts w:ascii="Arial" w:hAnsi="Arial" w:cs="Arial"/>
              </w:rPr>
              <w:t xml:space="preserve"> only need to be notified if a clinic outage lasts for more than one day. Some vendors may contact you pre-emptively to see if there is an issue if you do not pick up your labs in approximately </w:t>
            </w:r>
            <w:r w:rsidR="0057449B" w:rsidRPr="00837C9B">
              <w:rPr>
                <w:rFonts w:ascii="Arial" w:hAnsi="Arial" w:cs="Arial"/>
              </w:rPr>
              <w:t>seven</w:t>
            </w:r>
            <w:r w:rsidRPr="00837C9B">
              <w:rPr>
                <w:rFonts w:ascii="Arial" w:hAnsi="Arial" w:cs="Arial"/>
              </w:rPr>
              <w:t xml:space="preserve"> days.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7091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813" w:rsidRPr="00837C9B" w14:paraId="11E64DAF" w14:textId="77777777" w:rsidTr="002442EC">
        <w:trPr>
          <w:cantSplit/>
          <w:trHeight w:hRule="exact" w:val="135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E4E7" w14:textId="1D28DD2E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5</w:t>
            </w:r>
            <w:r w:rsidRPr="00837C9B">
              <w:rPr>
                <w:rFonts w:ascii="Arial" w:hAnsi="Arial" w:cs="Arial"/>
              </w:rPr>
              <w:t xml:space="preserve"> </w:t>
            </w:r>
            <w:r w:rsidR="0057449B" w:rsidRPr="00837C9B">
              <w:rPr>
                <w:rFonts w:ascii="Arial" w:hAnsi="Arial" w:cs="Arial"/>
              </w:rPr>
              <w:t xml:space="preserve">– </w:t>
            </w:r>
            <w:r w:rsidRPr="00837C9B">
              <w:rPr>
                <w:rFonts w:ascii="Arial" w:hAnsi="Arial" w:cs="Arial"/>
              </w:rPr>
              <w:t>Implement any critical continuity of care or administrative workflows to maintain patient safety and business continuity (as per “</w:t>
            </w:r>
            <w:r w:rsidR="00D119CF" w:rsidRPr="00837C9B">
              <w:rPr>
                <w:rFonts w:ascii="Arial" w:hAnsi="Arial" w:cs="Arial"/>
              </w:rPr>
              <w:t>S</w:t>
            </w:r>
            <w:r w:rsidRPr="00837C9B">
              <w:rPr>
                <w:rFonts w:ascii="Arial" w:hAnsi="Arial" w:cs="Arial"/>
              </w:rPr>
              <w:t>tep 4”</w:t>
            </w:r>
            <w:r w:rsidR="00D119CF" w:rsidRPr="00837C9B">
              <w:rPr>
                <w:rFonts w:ascii="Arial" w:hAnsi="Arial" w:cs="Arial"/>
              </w:rPr>
              <w:t xml:space="preserve"> in the instructions – Critical Business Functions Table</w:t>
            </w:r>
            <w:r w:rsidRPr="00837C9B">
              <w:rPr>
                <w:rFonts w:ascii="Arial" w:hAnsi="Arial" w:cs="Arial"/>
              </w:rPr>
              <w:t>)</w:t>
            </w:r>
            <w:r w:rsidR="0057449B" w:rsidRPr="00837C9B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5831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813" w:rsidRPr="00837C9B" w14:paraId="34C2DD56" w14:textId="77777777" w:rsidTr="004B58EC">
        <w:trPr>
          <w:cantSplit/>
          <w:trHeight w:hRule="exact" w:val="72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C0B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6</w:t>
            </w:r>
            <w:r w:rsidRPr="00837C9B">
              <w:rPr>
                <w:rFonts w:ascii="Arial" w:hAnsi="Arial" w:cs="Arial"/>
              </w:rPr>
              <w:t xml:space="preserve"> – Coordinate operational contingency actions. For example, use of your BCC or any manual processes if applicable.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480C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2B1F214" w14:textId="77777777" w:rsidR="00237813" w:rsidRPr="00837C9B" w:rsidRDefault="00237813" w:rsidP="00237813">
      <w:pPr>
        <w:spacing w:after="0" w:line="240" w:lineRule="auto"/>
        <w:rPr>
          <w:rFonts w:ascii="Arial" w:hAnsi="Arial" w:cs="Arial"/>
          <w:color w:val="000000"/>
        </w:rPr>
      </w:pPr>
      <w:r w:rsidRPr="00837C9B">
        <w:rPr>
          <w:rFonts w:ascii="Arial" w:eastAsia="Times New Roman" w:hAnsi="Arial" w:cs="Arial"/>
          <w:b/>
          <w:bCs/>
          <w:color w:val="000000"/>
          <w:sz w:val="24"/>
          <w:szCs w:val="20"/>
        </w:rPr>
        <w:t> </w:t>
      </w:r>
    </w:p>
    <w:p w14:paraId="6FA0A7D4" w14:textId="77777777" w:rsidR="00237813" w:rsidRPr="00837C9B" w:rsidRDefault="00237813" w:rsidP="00237813">
      <w:pPr>
        <w:spacing w:after="0" w:line="240" w:lineRule="auto"/>
        <w:rPr>
          <w:rFonts w:ascii="Arial" w:hAnsi="Arial" w:cs="Arial"/>
          <w:color w:val="000000"/>
        </w:rPr>
      </w:pPr>
      <w:r w:rsidRPr="00837C9B">
        <w:rPr>
          <w:rFonts w:ascii="Arial" w:eastAsia="Times New Roman" w:hAnsi="Arial" w:cs="Arial"/>
          <w:b/>
          <w:bCs/>
          <w:color w:val="000000"/>
          <w:sz w:val="24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8"/>
        <w:gridCol w:w="2332"/>
      </w:tblGrid>
      <w:tr w:rsidR="00237813" w:rsidRPr="00837C9B" w14:paraId="7F82D90F" w14:textId="77777777" w:rsidTr="0057449B">
        <w:trPr>
          <w:cantSplit/>
          <w:trHeight w:hRule="exact" w:val="775"/>
        </w:trPr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0153638F" w14:textId="77777777" w:rsidR="00237813" w:rsidRPr="00837C9B" w:rsidRDefault="00237813" w:rsidP="0057449B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Post-Downtime (Recovery Stage)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771F1C05" w14:textId="77777777" w:rsidR="00237813" w:rsidRPr="00837C9B" w:rsidRDefault="00237813" w:rsidP="0057449B">
            <w:pPr>
              <w:spacing w:before="240"/>
              <w:jc w:val="center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03131B3D" wp14:editId="0F089209">
                      <wp:extent cx="152400" cy="152400"/>
                      <wp:effectExtent l="0" t="0" r="0" b="0"/>
                      <wp:docPr id="5" name="Rectangle 5" descr="\\localhost\Users\bri\Library\Caches\TemporaryItems\msoclip\0\clip_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3FC03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37C9B">
              <w:rPr>
                <w:rFonts w:ascii="Arial" w:hAnsi="Arial" w:cs="Arial"/>
                <w:b/>
                <w:bCs/>
              </w:rPr>
              <w:t>Completed</w:t>
            </w:r>
          </w:p>
        </w:tc>
      </w:tr>
      <w:tr w:rsidR="00237813" w:rsidRPr="00837C9B" w14:paraId="74320F6E" w14:textId="77777777" w:rsidTr="006222E9">
        <w:trPr>
          <w:cantSplit/>
          <w:trHeight w:hRule="exact" w:val="755"/>
        </w:trPr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19BF" w14:textId="448313AA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1</w:t>
            </w:r>
            <w:r w:rsidR="0057449B" w:rsidRPr="00837C9B">
              <w:rPr>
                <w:rFonts w:ascii="Arial" w:hAnsi="Arial" w:cs="Arial"/>
                <w:b/>
                <w:bCs/>
              </w:rPr>
              <w:t xml:space="preserve"> </w:t>
            </w:r>
            <w:r w:rsidR="0057449B" w:rsidRPr="00837C9B">
              <w:rPr>
                <w:rFonts w:ascii="Arial" w:hAnsi="Arial" w:cs="Arial"/>
              </w:rPr>
              <w:t xml:space="preserve">– </w:t>
            </w:r>
            <w:r w:rsidRPr="00837C9B">
              <w:rPr>
                <w:rFonts w:ascii="Arial" w:hAnsi="Arial" w:cs="Arial"/>
              </w:rPr>
              <w:t>Notify all staff, physicians, and external stakeholders that you are resuming normal operations.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939F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813" w:rsidRPr="00837C9B" w14:paraId="0A9F347E" w14:textId="77777777" w:rsidTr="004B58EC">
        <w:trPr>
          <w:cantSplit/>
          <w:trHeight w:hRule="exact" w:val="928"/>
        </w:trPr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8A" w14:textId="3710D58F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2</w:t>
            </w:r>
            <w:r w:rsidRPr="00837C9B">
              <w:rPr>
                <w:rFonts w:ascii="Arial" w:hAnsi="Arial" w:cs="Arial"/>
              </w:rPr>
              <w:t xml:space="preserve"> </w:t>
            </w:r>
            <w:r w:rsidR="0057449B" w:rsidRPr="00837C9B">
              <w:rPr>
                <w:rFonts w:ascii="Arial" w:hAnsi="Arial" w:cs="Arial"/>
              </w:rPr>
              <w:t>–</w:t>
            </w:r>
            <w:r w:rsidRPr="00837C9B">
              <w:rPr>
                <w:rFonts w:ascii="Arial" w:hAnsi="Arial" w:cs="Arial"/>
              </w:rPr>
              <w:t xml:space="preserve"> Coordinate the recovery, collation, and re-entry of all </w:t>
            </w:r>
            <w:r w:rsidR="00CF5F2F" w:rsidRPr="00837C9B">
              <w:rPr>
                <w:rFonts w:ascii="Arial" w:hAnsi="Arial" w:cs="Arial"/>
              </w:rPr>
              <w:t>paper-based</w:t>
            </w:r>
            <w:r w:rsidRPr="00837C9B">
              <w:rPr>
                <w:rFonts w:ascii="Arial" w:hAnsi="Arial" w:cs="Arial"/>
              </w:rPr>
              <w:t xml:space="preserve"> information that was collected during the downtime event.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E169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813" w:rsidRPr="00837C9B" w14:paraId="7B7F37FE" w14:textId="77777777" w:rsidTr="0057449B">
        <w:trPr>
          <w:cantSplit/>
          <w:trHeight w:hRule="exact" w:val="1009"/>
        </w:trPr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3DB" w14:textId="15B334EA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3</w:t>
            </w:r>
            <w:r w:rsidRPr="00837C9B">
              <w:rPr>
                <w:rFonts w:ascii="Arial" w:hAnsi="Arial" w:cs="Arial"/>
              </w:rPr>
              <w:t xml:space="preserve"> – In your </w:t>
            </w:r>
            <w:r w:rsidR="00CF5F2F" w:rsidRPr="00837C9B">
              <w:rPr>
                <w:rFonts w:ascii="Arial" w:hAnsi="Arial" w:cs="Arial"/>
              </w:rPr>
              <w:t>logbook</w:t>
            </w:r>
            <w:r w:rsidRPr="00837C9B">
              <w:rPr>
                <w:rFonts w:ascii="Arial" w:hAnsi="Arial" w:cs="Arial"/>
              </w:rPr>
              <w:t xml:space="preserve">, record your downtime </w:t>
            </w:r>
            <w:r w:rsidR="0057449B" w:rsidRPr="00837C9B">
              <w:rPr>
                <w:rFonts w:ascii="Arial" w:hAnsi="Arial" w:cs="Arial"/>
              </w:rPr>
              <w:t>e</w:t>
            </w:r>
            <w:r w:rsidRPr="00837C9B">
              <w:rPr>
                <w:rFonts w:ascii="Arial" w:hAnsi="Arial" w:cs="Arial"/>
              </w:rPr>
              <w:t>nd time with details of the event and notate how effectively your downtime contingency plan worked.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673C" w14:textId="77777777" w:rsidR="00237813" w:rsidRPr="00837C9B" w:rsidRDefault="00237813" w:rsidP="006222E9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5A940B40" w14:textId="77777777" w:rsidR="00237813" w:rsidRPr="00837C9B" w:rsidRDefault="00237813" w:rsidP="00237813">
      <w:pPr>
        <w:spacing w:after="120"/>
        <w:rPr>
          <w:rFonts w:ascii="Arial" w:hAnsi="Arial" w:cs="Arial"/>
          <w:lang w:val="en-CA" w:eastAsia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1"/>
      </w:tblGrid>
      <w:tr w:rsidR="00237813" w:rsidRPr="00837C9B" w14:paraId="2C32FCEF" w14:textId="77777777" w:rsidTr="0057449B">
        <w:trPr>
          <w:cantSplit/>
          <w:trHeight w:hRule="exact" w:val="847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67BD63FD" w14:textId="161EF7AC" w:rsidR="00237813" w:rsidRPr="00837C9B" w:rsidRDefault="00237813" w:rsidP="0057449B">
            <w:pPr>
              <w:spacing w:before="240" w:after="0"/>
              <w:rPr>
                <w:rFonts w:ascii="Arial" w:hAnsi="Arial" w:cs="Arial"/>
                <w:b/>
                <w:bCs/>
              </w:rPr>
            </w:pPr>
            <w:r w:rsidRPr="00837C9B">
              <w:rPr>
                <w:rFonts w:ascii="Arial" w:hAnsi="Arial" w:cs="Arial"/>
                <w:b/>
                <w:bCs/>
              </w:rPr>
              <w:t xml:space="preserve">Pre-Downtime </w:t>
            </w:r>
            <w:r w:rsidRPr="00837C9B">
              <w:rPr>
                <w:rFonts w:ascii="Arial" w:hAnsi="Arial" w:cs="Arial"/>
                <w:b/>
                <w:bCs/>
                <w:sz w:val="20"/>
              </w:rPr>
              <w:t>(Before downtime event occurs) e.g.</w:t>
            </w:r>
            <w:r w:rsidR="00837C9B" w:rsidRPr="00837C9B">
              <w:rPr>
                <w:rFonts w:ascii="Arial" w:hAnsi="Arial" w:cs="Arial"/>
                <w:b/>
                <w:bCs/>
                <w:sz w:val="20"/>
              </w:rPr>
              <w:t>,</w:t>
            </w:r>
            <w:r w:rsidRPr="00837C9B">
              <w:rPr>
                <w:rFonts w:ascii="Arial" w:hAnsi="Arial" w:cs="Arial"/>
                <w:b/>
                <w:bCs/>
                <w:sz w:val="20"/>
              </w:rPr>
              <w:t xml:space="preserve"> monthly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67B1D486" w14:textId="77777777" w:rsidR="00237813" w:rsidRPr="00837C9B" w:rsidRDefault="00237813" w:rsidP="0057449B">
            <w:pPr>
              <w:spacing w:before="240" w:after="0"/>
              <w:jc w:val="center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Date Last Completed</w:t>
            </w:r>
          </w:p>
        </w:tc>
      </w:tr>
      <w:tr w:rsidR="00237813" w:rsidRPr="00837C9B" w14:paraId="6AB26C61" w14:textId="77777777" w:rsidTr="0057449B">
        <w:trPr>
          <w:cantSplit/>
          <w:trHeight w:hRule="exact" w:val="1045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3803" w14:textId="77777777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1</w:t>
            </w:r>
            <w:r w:rsidRPr="00837C9B">
              <w:rPr>
                <w:rFonts w:ascii="Arial" w:hAnsi="Arial" w:cs="Arial"/>
              </w:rPr>
              <w:t xml:space="preserve"> – If your clinic primarily pre-books patient visits, create a monthly task to remind you to check your BCC and report any deficiencies to your EMR vendor.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A71B" w14:textId="77777777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813" w:rsidRPr="00837C9B" w14:paraId="31361CB4" w14:textId="77777777" w:rsidTr="0057449B">
        <w:trPr>
          <w:cantSplit/>
          <w:trHeight w:hRule="exact" w:val="973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C092" w14:textId="77777777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2</w:t>
            </w:r>
            <w:r w:rsidRPr="00837C9B">
              <w:rPr>
                <w:rFonts w:ascii="Arial" w:hAnsi="Arial" w:cs="Arial"/>
              </w:rPr>
              <w:t xml:space="preserve"> – Review the DTC Plan and Checklist annually, making any necessary changes, and notify all clinic staff and Physicians of any changes made.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7A22" w14:textId="77777777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813" w:rsidRPr="00837C9B" w14:paraId="67CCBDB2" w14:textId="77777777" w:rsidTr="006222E9">
        <w:trPr>
          <w:cantSplit/>
          <w:trHeight w:hRule="exact" w:val="567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01A2" w14:textId="77777777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lastRenderedPageBreak/>
              <w:t>Action 3</w:t>
            </w:r>
            <w:r w:rsidRPr="00837C9B">
              <w:rPr>
                <w:rFonts w:ascii="Arial" w:hAnsi="Arial" w:cs="Arial"/>
              </w:rPr>
              <w:t xml:space="preserve"> – Keep an offsite copy of your DTC Plan and Checklist.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47F7" w14:textId="77777777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813" w:rsidRPr="00837C9B" w14:paraId="2B44EFA2" w14:textId="77777777" w:rsidTr="0057449B">
        <w:trPr>
          <w:cantSplit/>
          <w:trHeight w:hRule="exact" w:val="784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563E" w14:textId="10152165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Action 4</w:t>
            </w:r>
            <w:r w:rsidRPr="00837C9B">
              <w:rPr>
                <w:rFonts w:ascii="Arial" w:hAnsi="Arial" w:cs="Arial"/>
              </w:rPr>
              <w:t xml:space="preserve"> – Check the status and location </w:t>
            </w:r>
            <w:proofErr w:type="gramStart"/>
            <w:r w:rsidRPr="00837C9B">
              <w:rPr>
                <w:rFonts w:ascii="Arial" w:hAnsi="Arial" w:cs="Arial"/>
              </w:rPr>
              <w:t>of  your</w:t>
            </w:r>
            <w:proofErr w:type="gramEnd"/>
            <w:r w:rsidRPr="00837C9B">
              <w:rPr>
                <w:rFonts w:ascii="Arial" w:hAnsi="Arial" w:cs="Arial"/>
              </w:rPr>
              <w:t xml:space="preserve"> backup manual supplies - Rx pads, day sheets, encounter sheets, etc.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56AD" w14:textId="77777777" w:rsidR="00237813" w:rsidRPr="00837C9B" w:rsidRDefault="00237813" w:rsidP="0057449B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4B01BBE7" w14:textId="77777777" w:rsidR="00F413C8" w:rsidRPr="00837C9B" w:rsidRDefault="00F413C8" w:rsidP="00F413C8">
      <w:pPr>
        <w:spacing w:before="320"/>
        <w:rPr>
          <w:rFonts w:ascii="Arial" w:hAnsi="Arial" w:cs="Arial"/>
          <w:color w:val="000000"/>
        </w:rPr>
      </w:pPr>
    </w:p>
    <w:p w14:paraId="1C92736C" w14:textId="235642A6" w:rsidR="00F413C8" w:rsidRPr="00837C9B" w:rsidRDefault="00F413C8" w:rsidP="00F413C8">
      <w:pPr>
        <w:spacing w:before="320"/>
        <w:rPr>
          <w:rFonts w:ascii="Arial" w:hAnsi="Arial" w:cs="Arial"/>
          <w:color w:val="000000"/>
        </w:rPr>
      </w:pPr>
      <w:r w:rsidRPr="00837C9B">
        <w:rPr>
          <w:rFonts w:ascii="Arial" w:hAnsi="Arial" w:cs="Arial"/>
          <w:color w:val="000000"/>
        </w:rPr>
        <w:t xml:space="preserve">Plan Coordinator: </w:t>
      </w:r>
      <w:sdt>
        <w:sdtPr>
          <w:rPr>
            <w:rFonts w:ascii="Arial" w:hAnsi="Arial" w:cs="Arial"/>
            <w:color w:val="000000"/>
          </w:rPr>
          <w:id w:val="229516340"/>
          <w:placeholder>
            <w:docPart w:val="999CC5CF8AA0466DBE6ABAFE563A46AD"/>
          </w:placeholder>
          <w:showingPlcHdr/>
        </w:sdtPr>
        <w:sdtEndPr/>
        <w:sdtContent>
          <w:r w:rsidR="0047240C" w:rsidRPr="00837C9B">
            <w:rPr>
              <w:rStyle w:val="PlaceholderText"/>
              <w:rFonts w:ascii="Arial" w:hAnsi="Arial" w:cs="Arial"/>
              <w:color w:val="05C3DE" w:themeColor="background2"/>
            </w:rPr>
            <w:t>Enter name.</w:t>
          </w:r>
        </w:sdtContent>
      </w:sdt>
    </w:p>
    <w:p w14:paraId="3962BC4B" w14:textId="0C287A9B" w:rsidR="00F413C8" w:rsidRPr="00837C9B" w:rsidRDefault="00F413C8" w:rsidP="00F413C8">
      <w:pPr>
        <w:rPr>
          <w:rFonts w:ascii="Arial" w:hAnsi="Arial" w:cs="Arial"/>
          <w:color w:val="000000"/>
        </w:rPr>
      </w:pPr>
      <w:r w:rsidRPr="00837C9B">
        <w:rPr>
          <w:rFonts w:ascii="Arial" w:hAnsi="Arial" w:cs="Arial"/>
          <w:color w:val="000000"/>
        </w:rPr>
        <w:t xml:space="preserve">Storage Location: </w:t>
      </w:r>
      <w:sdt>
        <w:sdtPr>
          <w:rPr>
            <w:rFonts w:ascii="Arial" w:hAnsi="Arial" w:cs="Arial"/>
            <w:color w:val="000000"/>
          </w:rPr>
          <w:id w:val="-1459402440"/>
          <w:placeholder>
            <w:docPart w:val="2E463A802F9745E9BF20A0C70A7FB5C5"/>
          </w:placeholder>
          <w:showingPlcHdr/>
        </w:sdtPr>
        <w:sdtEndPr/>
        <w:sdtContent>
          <w:r w:rsidR="0047240C" w:rsidRPr="00837C9B">
            <w:rPr>
              <w:rFonts w:ascii="Arial" w:hAnsi="Arial" w:cs="Arial"/>
              <w:color w:val="05C3DE" w:themeColor="background2"/>
            </w:rPr>
            <w:t>List the physical or digital location of copies of this plan.</w:t>
          </w:r>
        </w:sdtContent>
      </w:sdt>
    </w:p>
    <w:p w14:paraId="1BDE5CB8" w14:textId="7F435AEE" w:rsidR="00F413C8" w:rsidRPr="00837C9B" w:rsidRDefault="00F413C8" w:rsidP="00F413C8">
      <w:pPr>
        <w:rPr>
          <w:rFonts w:ascii="Arial" w:hAnsi="Arial" w:cs="Arial"/>
          <w:color w:val="000000"/>
        </w:rPr>
      </w:pPr>
      <w:r w:rsidRPr="00837C9B">
        <w:rPr>
          <w:rFonts w:ascii="Arial" w:hAnsi="Arial" w:cs="Arial"/>
          <w:color w:val="000000"/>
        </w:rPr>
        <w:t xml:space="preserve">Effective Date: </w:t>
      </w:r>
      <w:sdt>
        <w:sdtPr>
          <w:rPr>
            <w:rFonts w:ascii="Arial" w:hAnsi="Arial" w:cs="Arial"/>
            <w:color w:val="000000"/>
          </w:rPr>
          <w:id w:val="1025908942"/>
          <w:placeholder>
            <w:docPart w:val="5C8C91D5EB18499782C93843F82CC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240C" w:rsidRPr="00837C9B">
            <w:rPr>
              <w:rStyle w:val="PlaceholderText"/>
              <w:rFonts w:ascii="Arial" w:hAnsi="Arial" w:cs="Arial"/>
              <w:color w:val="05C3DE" w:themeColor="background2"/>
            </w:rPr>
            <w:t>Click to enter a date.</w:t>
          </w:r>
        </w:sdtContent>
      </w:sdt>
    </w:p>
    <w:p w14:paraId="3C97BFA8" w14:textId="03666508" w:rsidR="00F413C8" w:rsidRPr="00837C9B" w:rsidRDefault="00F413C8" w:rsidP="00F413C8">
      <w:pPr>
        <w:rPr>
          <w:rFonts w:ascii="Arial" w:hAnsi="Arial" w:cs="Arial"/>
          <w:color w:val="0074A6" w:themeColor="accent5" w:themeShade="BF"/>
        </w:rPr>
      </w:pPr>
      <w:r w:rsidRPr="00837C9B">
        <w:rPr>
          <w:rFonts w:ascii="Arial" w:hAnsi="Arial" w:cs="Arial"/>
          <w:color w:val="000000"/>
        </w:rPr>
        <w:t xml:space="preserve">Next Review Date: </w:t>
      </w:r>
      <w:sdt>
        <w:sdtPr>
          <w:rPr>
            <w:rFonts w:ascii="Arial" w:hAnsi="Arial" w:cs="Arial"/>
            <w:color w:val="000000"/>
          </w:rPr>
          <w:id w:val="863259209"/>
          <w:placeholder>
            <w:docPart w:val="03E627ECEBFD4D0DA8B10FE2527E0B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240C" w:rsidRPr="00837C9B">
            <w:rPr>
              <w:rStyle w:val="PlaceholderText"/>
              <w:rFonts w:ascii="Arial" w:hAnsi="Arial" w:cs="Arial"/>
              <w:color w:val="05C3DE" w:themeColor="background2"/>
            </w:rPr>
            <w:t>Click to enter a date.</w:t>
          </w:r>
        </w:sdtContent>
      </w:sdt>
    </w:p>
    <w:p w14:paraId="61E246D1" w14:textId="2383DE3E" w:rsidR="0047240C" w:rsidRPr="00837C9B" w:rsidRDefault="0047240C" w:rsidP="00F413C8">
      <w:pPr>
        <w:pStyle w:val="SoKPolicyThirdLevelContent"/>
        <w:spacing w:after="120"/>
        <w:ind w:left="0"/>
        <w:rPr>
          <w:rFonts w:ascii="Arial" w:hAnsi="Arial" w:cs="Arial"/>
          <w:color w:val="000000"/>
        </w:rPr>
      </w:pPr>
    </w:p>
    <w:p w14:paraId="2CA3B238" w14:textId="77777777" w:rsidR="0047240C" w:rsidRPr="00837C9B" w:rsidRDefault="0047240C" w:rsidP="00F413C8">
      <w:pPr>
        <w:pStyle w:val="SoKPolicyThirdLevelContent"/>
        <w:spacing w:after="120"/>
        <w:ind w:left="0"/>
        <w:rPr>
          <w:rFonts w:ascii="Arial" w:hAnsi="Arial" w:cs="Arial"/>
          <w:color w:val="00000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2520"/>
        <w:gridCol w:w="3060"/>
      </w:tblGrid>
      <w:tr w:rsidR="00F413C8" w:rsidRPr="00837C9B" w14:paraId="6500E202" w14:textId="77777777" w:rsidTr="00837C9B">
        <w:trPr>
          <w:cantSplit/>
          <w:trHeight w:hRule="exact" w:val="284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3996C844" w14:textId="77777777" w:rsidR="00F413C8" w:rsidRPr="00837C9B" w:rsidRDefault="00F413C8" w:rsidP="0047240C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688DADBF" w14:textId="77777777" w:rsidR="00F413C8" w:rsidRPr="00837C9B" w:rsidRDefault="00F413C8" w:rsidP="0047240C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Name/Position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1E4F5872" w14:textId="77777777" w:rsidR="00F413C8" w:rsidRPr="00837C9B" w:rsidRDefault="00F413C8" w:rsidP="0047240C">
            <w:pPr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  <w:b/>
                <w:bCs/>
              </w:rPr>
              <w:t>Contact Info</w:t>
            </w:r>
          </w:p>
        </w:tc>
      </w:tr>
      <w:tr w:rsidR="00F413C8" w:rsidRPr="00837C9B" w14:paraId="43C43DE1" w14:textId="77777777" w:rsidTr="0047240C">
        <w:trPr>
          <w:cantSplit/>
          <w:trHeight w:hRule="exact" w:val="73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4356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 xml:space="preserve">DTC Plan Coordinator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78F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99C0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20F450BC" w14:textId="77777777" w:rsidTr="0047240C">
        <w:trPr>
          <w:cantSplit/>
          <w:trHeight w:hRule="exact" w:val="80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C67D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Alternate DTC Coordinator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9CDF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13B0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7A99DE98" w14:textId="77777777" w:rsidTr="0047240C">
        <w:trPr>
          <w:cantSplit/>
          <w:trHeight w:hRule="exact" w:val="964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F145" w14:textId="1868D3AF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Technical Representative (Local</w:t>
            </w:r>
            <w:r w:rsidR="0047240C" w:rsidRPr="00837C9B">
              <w:rPr>
                <w:rFonts w:ascii="Arial" w:hAnsi="Arial" w:cs="Arial"/>
              </w:rPr>
              <w:t xml:space="preserve"> </w:t>
            </w:r>
            <w:r w:rsidRPr="00837C9B">
              <w:rPr>
                <w:rFonts w:ascii="Arial" w:hAnsi="Arial" w:cs="Arial"/>
              </w:rPr>
              <w:t>IT)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CE03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4326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5B5C2C59" w14:textId="77777777" w:rsidTr="0047240C">
        <w:trPr>
          <w:cantSplit/>
          <w:trHeight w:hRule="exact" w:val="122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6C98" w14:textId="46A4F0D9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Alternate Technical Representative(s)</w:t>
            </w:r>
            <w:r w:rsidR="0047240C" w:rsidRPr="00837C9B">
              <w:rPr>
                <w:rFonts w:ascii="Arial" w:hAnsi="Arial" w:cs="Arial"/>
              </w:rPr>
              <w:t xml:space="preserve"> </w:t>
            </w:r>
            <w:r w:rsidRPr="00837C9B">
              <w:rPr>
                <w:rFonts w:ascii="Arial" w:hAnsi="Arial" w:cs="Arial"/>
              </w:rPr>
              <w:t>(Local IT)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B54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A5F3" w14:textId="77777777" w:rsidR="00F413C8" w:rsidRPr="00837C9B" w:rsidRDefault="00F413C8" w:rsidP="0047240C">
            <w:pPr>
              <w:spacing w:before="240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</w:tbl>
    <w:p w14:paraId="7A1E40B3" w14:textId="77777777" w:rsidR="00F413C8" w:rsidRPr="00837C9B" w:rsidRDefault="00F413C8" w:rsidP="00F413C8">
      <w:pPr>
        <w:pStyle w:val="SoKPolicyThirdLevelContent"/>
        <w:spacing w:after="120"/>
        <w:ind w:left="0" w:hanging="142"/>
        <w:rPr>
          <w:rFonts w:ascii="Arial" w:hAnsi="Arial" w:cs="Arial"/>
          <w:color w:val="000000"/>
        </w:rPr>
      </w:pPr>
      <w:r w:rsidRPr="00837C9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5A50238" w14:textId="77777777" w:rsidR="00F413C8" w:rsidRPr="00837C9B" w:rsidRDefault="00F413C8" w:rsidP="00F413C8">
      <w:pPr>
        <w:pStyle w:val="SoKPolicyThirdLevelContent"/>
        <w:spacing w:after="120"/>
        <w:ind w:left="0" w:hanging="142"/>
        <w:rPr>
          <w:rFonts w:ascii="Arial" w:hAnsi="Arial" w:cs="Arial"/>
          <w:b/>
          <w:bCs/>
          <w:color w:val="000000"/>
          <w:sz w:val="22"/>
          <w:szCs w:val="22"/>
        </w:rPr>
      </w:pPr>
      <w:r w:rsidRPr="00837C9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56530D76" w14:textId="77777777" w:rsidR="00F413C8" w:rsidRPr="00837C9B" w:rsidRDefault="00F413C8" w:rsidP="00F413C8">
      <w:pPr>
        <w:pStyle w:val="SoKPolicyThirdLevelContent"/>
        <w:spacing w:after="120"/>
        <w:ind w:left="0" w:hanging="142"/>
        <w:rPr>
          <w:rFonts w:ascii="Arial" w:hAnsi="Arial" w:cs="Arial"/>
          <w:color w:val="000000"/>
        </w:rPr>
      </w:pPr>
      <w:r w:rsidRPr="00837C9B">
        <w:rPr>
          <w:rFonts w:ascii="Arial" w:hAnsi="Arial" w:cs="Arial"/>
          <w:b/>
          <w:bCs/>
          <w:color w:val="000000"/>
          <w:sz w:val="22"/>
          <w:szCs w:val="22"/>
        </w:rPr>
        <w:t>Step 2:</w:t>
      </w:r>
      <w:r w:rsidRPr="00837C9B">
        <w:rPr>
          <w:rFonts w:ascii="Arial" w:hAnsi="Arial" w:cs="Arial"/>
          <w:color w:val="000000"/>
          <w:sz w:val="22"/>
          <w:szCs w:val="22"/>
        </w:rPr>
        <w:t xml:space="preserve"> Identify downtime contacts for all clinical and IT service </w:t>
      </w:r>
      <w:proofErr w:type="gramStart"/>
      <w:r w:rsidRPr="00837C9B">
        <w:rPr>
          <w:rFonts w:ascii="Arial" w:hAnsi="Arial" w:cs="Arial"/>
          <w:color w:val="000000"/>
          <w:sz w:val="22"/>
          <w:szCs w:val="22"/>
        </w:rPr>
        <w:t>providers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763"/>
      </w:tblGrid>
      <w:tr w:rsidR="00F413C8" w:rsidRPr="00837C9B" w14:paraId="315D2FFF" w14:textId="77777777" w:rsidTr="00837C9B">
        <w:trPr>
          <w:cantSplit/>
          <w:trHeight w:hRule="exact" w:val="284"/>
          <w:tblHeader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4B385018" w14:textId="77777777" w:rsidR="00F413C8" w:rsidRPr="00837C9B" w:rsidRDefault="00F413C8" w:rsidP="006222E9">
            <w:pPr>
              <w:rPr>
                <w:rFonts w:ascii="Arial" w:hAnsi="Arial" w:cs="Arial"/>
                <w:b/>
                <w:bCs/>
              </w:rPr>
            </w:pPr>
            <w:r w:rsidRPr="00837C9B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C3DE" w:themeFill="background2"/>
            <w:hideMark/>
          </w:tcPr>
          <w:p w14:paraId="4A657598" w14:textId="77777777" w:rsidR="00F413C8" w:rsidRPr="00837C9B" w:rsidRDefault="00F413C8" w:rsidP="006222E9">
            <w:pPr>
              <w:rPr>
                <w:rFonts w:ascii="Arial" w:hAnsi="Arial" w:cs="Arial"/>
                <w:b/>
                <w:bCs/>
              </w:rPr>
            </w:pPr>
            <w:r w:rsidRPr="00837C9B">
              <w:rPr>
                <w:rFonts w:ascii="Arial" w:hAnsi="Arial" w:cs="Arial"/>
                <w:b/>
                <w:bCs/>
              </w:rPr>
              <w:t>Contact Info</w:t>
            </w:r>
          </w:p>
        </w:tc>
      </w:tr>
      <w:tr w:rsidR="00F413C8" w:rsidRPr="00837C9B" w14:paraId="3B69E39C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1311" w14:textId="6C7A790E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 xml:space="preserve">EMR </w:t>
            </w:r>
            <w:r w:rsidR="00837C9B">
              <w:rPr>
                <w:rFonts w:ascii="Arial" w:hAnsi="Arial" w:cs="Arial"/>
              </w:rPr>
              <w:t>v</w:t>
            </w:r>
            <w:r w:rsidRPr="00837C9B">
              <w:rPr>
                <w:rFonts w:ascii="Arial" w:hAnsi="Arial" w:cs="Arial"/>
              </w:rPr>
              <w:t xml:space="preserve">endor </w:t>
            </w:r>
            <w:r w:rsidR="00837C9B">
              <w:rPr>
                <w:rFonts w:ascii="Arial" w:hAnsi="Arial" w:cs="Arial"/>
              </w:rPr>
              <w:t>h</w:t>
            </w:r>
            <w:r w:rsidRPr="00837C9B">
              <w:rPr>
                <w:rFonts w:ascii="Arial" w:hAnsi="Arial" w:cs="Arial"/>
              </w:rPr>
              <w:t xml:space="preserve">elpdesk 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4D51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3C762871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093" w14:textId="477E4224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lastRenderedPageBreak/>
              <w:t xml:space="preserve">Utility </w:t>
            </w:r>
            <w:r w:rsidR="00837C9B">
              <w:rPr>
                <w:rFonts w:ascii="Arial" w:hAnsi="Arial" w:cs="Arial"/>
              </w:rPr>
              <w:t>c</w:t>
            </w:r>
            <w:r w:rsidRPr="00837C9B">
              <w:rPr>
                <w:rFonts w:ascii="Arial" w:hAnsi="Arial" w:cs="Arial"/>
              </w:rPr>
              <w:t xml:space="preserve">ompany </w:t>
            </w:r>
            <w:r w:rsidR="00837C9B">
              <w:rPr>
                <w:rFonts w:ascii="Arial" w:hAnsi="Arial" w:cs="Arial"/>
              </w:rPr>
              <w:t>(</w:t>
            </w:r>
            <w:proofErr w:type="gramStart"/>
            <w:r w:rsidRPr="00837C9B">
              <w:rPr>
                <w:rFonts w:ascii="Arial" w:hAnsi="Arial" w:cs="Arial"/>
              </w:rPr>
              <w:t>e.g.</w:t>
            </w:r>
            <w:proofErr w:type="gramEnd"/>
            <w:r w:rsidRPr="00837C9B">
              <w:rPr>
                <w:rFonts w:ascii="Arial" w:hAnsi="Arial" w:cs="Arial"/>
              </w:rPr>
              <w:t xml:space="preserve"> BC Hydro</w:t>
            </w:r>
            <w:r w:rsidR="00837C9B">
              <w:rPr>
                <w:rFonts w:ascii="Arial" w:hAnsi="Arial" w:cs="Arial"/>
              </w:rPr>
              <w:t>)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1D7E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7B686E6C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3D56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Internet Service Provider (ISP)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CE40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2638F173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2B21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Landlord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819B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2932E23B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8FF5" w14:textId="7DB3BB36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 xml:space="preserve">Gas Company </w:t>
            </w:r>
            <w:r w:rsidR="00837C9B">
              <w:rPr>
                <w:rFonts w:ascii="Arial" w:hAnsi="Arial" w:cs="Arial"/>
              </w:rPr>
              <w:t>(</w:t>
            </w:r>
            <w:proofErr w:type="gramStart"/>
            <w:r w:rsidRPr="00837C9B">
              <w:rPr>
                <w:rFonts w:ascii="Arial" w:hAnsi="Arial" w:cs="Arial"/>
              </w:rPr>
              <w:t>e.g.</w:t>
            </w:r>
            <w:proofErr w:type="gramEnd"/>
            <w:r w:rsidRPr="00837C9B">
              <w:rPr>
                <w:rFonts w:ascii="Arial" w:hAnsi="Arial" w:cs="Arial"/>
              </w:rPr>
              <w:t xml:space="preserve"> Fortis</w:t>
            </w:r>
            <w:r w:rsidR="00837C9B">
              <w:rPr>
                <w:rFonts w:ascii="Arial" w:hAnsi="Arial" w:cs="Arial"/>
              </w:rPr>
              <w:t xml:space="preserve"> </w:t>
            </w:r>
            <w:r w:rsidRPr="00837C9B">
              <w:rPr>
                <w:rFonts w:ascii="Arial" w:hAnsi="Arial" w:cs="Arial"/>
              </w:rPr>
              <w:t>BC</w:t>
            </w:r>
            <w:r w:rsidR="00837C9B">
              <w:rPr>
                <w:rFonts w:ascii="Arial" w:hAnsi="Arial" w:cs="Arial"/>
              </w:rPr>
              <w:t>)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9946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2BAEC5C7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B612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Life Labs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92B4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60C09649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3A95" w14:textId="7B249B5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 xml:space="preserve">Hospital </w:t>
            </w:r>
            <w:r w:rsidR="00837C9B">
              <w:rPr>
                <w:rFonts w:ascii="Arial" w:hAnsi="Arial" w:cs="Arial"/>
              </w:rPr>
              <w:t>l</w:t>
            </w:r>
            <w:r w:rsidRPr="00837C9B">
              <w:rPr>
                <w:rFonts w:ascii="Arial" w:hAnsi="Arial" w:cs="Arial"/>
              </w:rPr>
              <w:t>abs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576C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7AEEA2A9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565E" w14:textId="52725D9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 xml:space="preserve">Local </w:t>
            </w:r>
            <w:r w:rsidR="00837C9B">
              <w:rPr>
                <w:rFonts w:ascii="Arial" w:hAnsi="Arial" w:cs="Arial"/>
              </w:rPr>
              <w:t>i</w:t>
            </w:r>
            <w:r w:rsidRPr="00837C9B">
              <w:rPr>
                <w:rFonts w:ascii="Arial" w:hAnsi="Arial" w:cs="Arial"/>
              </w:rPr>
              <w:t xml:space="preserve">maging </w:t>
            </w:r>
            <w:r w:rsidR="00837C9B">
              <w:rPr>
                <w:rFonts w:ascii="Arial" w:hAnsi="Arial" w:cs="Arial"/>
              </w:rPr>
              <w:t>s</w:t>
            </w:r>
            <w:r w:rsidRPr="00837C9B">
              <w:rPr>
                <w:rFonts w:ascii="Arial" w:hAnsi="Arial" w:cs="Arial"/>
              </w:rPr>
              <w:t>ervices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4AEA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0EEA418E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1B51" w14:textId="022CD34F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lastRenderedPageBreak/>
              <w:t xml:space="preserve">Hospital </w:t>
            </w:r>
            <w:r w:rsidR="00837C9B">
              <w:rPr>
                <w:rFonts w:ascii="Arial" w:hAnsi="Arial" w:cs="Arial"/>
              </w:rPr>
              <w:t>i</w:t>
            </w:r>
            <w:r w:rsidRPr="00837C9B">
              <w:rPr>
                <w:rFonts w:ascii="Arial" w:hAnsi="Arial" w:cs="Arial"/>
              </w:rPr>
              <w:t xml:space="preserve">maging </w:t>
            </w:r>
            <w:r w:rsidR="00837C9B">
              <w:rPr>
                <w:rFonts w:ascii="Arial" w:hAnsi="Arial" w:cs="Arial"/>
              </w:rPr>
              <w:t>l</w:t>
            </w:r>
            <w:r w:rsidRPr="00837C9B">
              <w:rPr>
                <w:rFonts w:ascii="Arial" w:hAnsi="Arial" w:cs="Arial"/>
              </w:rPr>
              <w:t>ab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B7E3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645099D8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A001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21C7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2E192FE7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969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10E0" w14:textId="77777777" w:rsidR="00F413C8" w:rsidRPr="00837C9B" w:rsidRDefault="00F413C8" w:rsidP="00837C9B">
            <w:pPr>
              <w:spacing w:after="0" w:line="1080" w:lineRule="auto"/>
              <w:rPr>
                <w:rFonts w:ascii="Arial" w:hAnsi="Arial" w:cs="Arial"/>
              </w:rPr>
            </w:pPr>
            <w:r w:rsidRPr="00837C9B">
              <w:rPr>
                <w:rFonts w:ascii="Arial" w:hAnsi="Arial" w:cs="Arial"/>
              </w:rPr>
              <w:t> </w:t>
            </w:r>
          </w:p>
        </w:tc>
      </w:tr>
      <w:tr w:rsidR="00F413C8" w:rsidRPr="00837C9B" w14:paraId="21B1097E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8930" w14:textId="77777777" w:rsidR="00F413C8" w:rsidRPr="00837C9B" w:rsidRDefault="00F413C8" w:rsidP="00837C9B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A8DD" w14:textId="77777777" w:rsidR="00F413C8" w:rsidRPr="00837C9B" w:rsidRDefault="00F413C8" w:rsidP="00837C9B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7D5E6591" w14:textId="77777777" w:rsidTr="00837C9B">
        <w:trPr>
          <w:cantSplit/>
          <w:trHeight w:hRule="exact" w:val="1584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D22" w14:textId="77777777" w:rsidR="00F413C8" w:rsidRPr="00837C9B" w:rsidRDefault="00F413C8" w:rsidP="00837C9B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FA56" w14:textId="77777777" w:rsidR="00F413C8" w:rsidRPr="00837C9B" w:rsidRDefault="00F413C8" w:rsidP="00837C9B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96B71F3" w14:textId="6D09A580" w:rsidR="00F413C8" w:rsidRPr="00837C9B" w:rsidRDefault="00F413C8" w:rsidP="00F413C8">
      <w:pPr>
        <w:rPr>
          <w:rFonts w:ascii="Arial" w:hAnsi="Arial" w:cs="Arial"/>
          <w:color w:val="000000"/>
        </w:rPr>
      </w:pPr>
    </w:p>
    <w:p w14:paraId="261F0794" w14:textId="62705973" w:rsidR="00D26C1A" w:rsidRPr="00837C9B" w:rsidRDefault="00D26C1A" w:rsidP="002442EC">
      <w:pPr>
        <w:shd w:val="clear" w:color="auto" w:fill="05C3DE" w:themeFill="background2"/>
        <w:rPr>
          <w:rFonts w:ascii="Arial" w:hAnsi="Arial" w:cs="Arial"/>
          <w:i/>
          <w:iCs/>
          <w:color w:val="000000"/>
          <w:sz w:val="28"/>
          <w:szCs w:val="28"/>
        </w:rPr>
      </w:pPr>
      <w:r w:rsidRPr="00837C9B">
        <w:rPr>
          <w:rFonts w:ascii="Arial" w:hAnsi="Arial" w:cs="Arial"/>
          <w:i/>
          <w:iCs/>
          <w:color w:val="000000"/>
          <w:sz w:val="28"/>
          <w:szCs w:val="28"/>
        </w:rPr>
        <w:t xml:space="preserve">*See </w:t>
      </w:r>
      <w:hyperlink r:id="rId7" w:history="1">
        <w:r w:rsidRPr="003B5E4D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Instructions</w:t>
        </w:r>
      </w:hyperlink>
      <w:r w:rsidRPr="00837C9B">
        <w:rPr>
          <w:rFonts w:ascii="Arial" w:hAnsi="Arial" w:cs="Arial"/>
          <w:i/>
          <w:iCs/>
          <w:color w:val="000000"/>
          <w:sz w:val="28"/>
          <w:szCs w:val="28"/>
        </w:rPr>
        <w:t xml:space="preserve"> to view Steps 3 – 5. </w:t>
      </w:r>
    </w:p>
    <w:p w14:paraId="5BB02CE8" w14:textId="77777777" w:rsidR="002442EC" w:rsidRPr="00837C9B" w:rsidRDefault="002442EC" w:rsidP="00F413C8">
      <w:pPr>
        <w:pStyle w:val="SoKPolicyThirdLevelContent"/>
        <w:spacing w:after="12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FF3DF0" w14:textId="07301C09" w:rsidR="00F413C8" w:rsidRPr="00837C9B" w:rsidRDefault="00F413C8" w:rsidP="00F413C8">
      <w:pPr>
        <w:pStyle w:val="SoKPolicyThirdLevelContent"/>
        <w:spacing w:after="120"/>
        <w:ind w:left="0"/>
        <w:rPr>
          <w:rFonts w:ascii="Arial" w:hAnsi="Arial" w:cs="Arial"/>
          <w:color w:val="000000"/>
        </w:rPr>
      </w:pPr>
      <w:r w:rsidRPr="00837C9B">
        <w:rPr>
          <w:rFonts w:ascii="Arial" w:hAnsi="Arial" w:cs="Arial"/>
          <w:b/>
          <w:bCs/>
          <w:color w:val="000000"/>
          <w:sz w:val="22"/>
          <w:szCs w:val="22"/>
        </w:rPr>
        <w:t xml:space="preserve">Step 6: </w:t>
      </w:r>
      <w:r w:rsidRPr="00837C9B">
        <w:rPr>
          <w:rFonts w:ascii="Arial" w:hAnsi="Arial" w:cs="Arial"/>
          <w:color w:val="000000"/>
          <w:sz w:val="22"/>
          <w:szCs w:val="22"/>
        </w:rPr>
        <w:t xml:space="preserve">Record any downtime </w:t>
      </w:r>
      <w:proofErr w:type="gramStart"/>
      <w:r w:rsidRPr="00837C9B">
        <w:rPr>
          <w:rFonts w:ascii="Arial" w:hAnsi="Arial" w:cs="Arial"/>
          <w:color w:val="000000"/>
          <w:sz w:val="22"/>
          <w:szCs w:val="22"/>
        </w:rPr>
        <w:t>events</w:t>
      </w:r>
      <w:proofErr w:type="gramEnd"/>
      <w:r w:rsidRPr="00837C9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37C9B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1367"/>
        <w:gridCol w:w="3789"/>
        <w:gridCol w:w="1217"/>
        <w:gridCol w:w="1363"/>
      </w:tblGrid>
      <w:tr w:rsidR="00837C9B" w:rsidRPr="00837C9B" w14:paraId="19E0E1CB" w14:textId="77777777" w:rsidTr="00837C9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C3DE" w:themeFill="background2"/>
            <w:hideMark/>
          </w:tcPr>
          <w:p w14:paraId="6FF7DEAD" w14:textId="0718438F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 xml:space="preserve">DTC </w:t>
            </w:r>
            <w:r w:rsidR="00837C9B">
              <w:rPr>
                <w:rFonts w:ascii="Arial" w:hAnsi="Arial" w:cs="Arial"/>
                <w:b/>
                <w:bCs/>
                <w:sz w:val="20"/>
              </w:rPr>
              <w:t>t</w:t>
            </w:r>
            <w:r w:rsidRPr="00837C9B">
              <w:rPr>
                <w:rFonts w:ascii="Arial" w:hAnsi="Arial" w:cs="Arial"/>
                <w:b/>
                <w:bCs/>
                <w:sz w:val="20"/>
              </w:rPr>
              <w:t xml:space="preserve">icket </w:t>
            </w:r>
            <w:r w:rsidR="00837C9B">
              <w:rPr>
                <w:rFonts w:ascii="Arial" w:hAnsi="Arial" w:cs="Arial"/>
                <w:b/>
                <w:bCs/>
                <w:sz w:val="20"/>
              </w:rPr>
              <w:t>number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C3DE" w:themeFill="background2"/>
            <w:hideMark/>
          </w:tcPr>
          <w:p w14:paraId="13267F6C" w14:textId="657DD69F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 xml:space="preserve">Start </w:t>
            </w:r>
            <w:proofErr w:type="gramStart"/>
            <w:r w:rsidR="00837C9B">
              <w:rPr>
                <w:rFonts w:ascii="Arial" w:hAnsi="Arial" w:cs="Arial"/>
                <w:b/>
                <w:bCs/>
                <w:sz w:val="20"/>
              </w:rPr>
              <w:t>d</w:t>
            </w:r>
            <w:r w:rsidRPr="00837C9B">
              <w:rPr>
                <w:rFonts w:ascii="Arial" w:hAnsi="Arial" w:cs="Arial"/>
                <w:b/>
                <w:bCs/>
                <w:sz w:val="20"/>
              </w:rPr>
              <w:t>ate</w:t>
            </w:r>
            <w:r w:rsidR="00837C9B">
              <w:rPr>
                <w:rFonts w:ascii="Arial" w:hAnsi="Arial" w:cs="Arial"/>
                <w:b/>
                <w:bCs/>
                <w:sz w:val="20"/>
              </w:rPr>
              <w:t xml:space="preserve">  and</w:t>
            </w:r>
            <w:proofErr w:type="gramEnd"/>
            <w:r w:rsidR="00837C9B">
              <w:rPr>
                <w:rFonts w:ascii="Arial" w:hAnsi="Arial" w:cs="Arial"/>
                <w:b/>
                <w:bCs/>
                <w:sz w:val="20"/>
              </w:rPr>
              <w:t xml:space="preserve"> t</w:t>
            </w:r>
            <w:r w:rsidRPr="00837C9B">
              <w:rPr>
                <w:rFonts w:ascii="Arial" w:hAnsi="Arial" w:cs="Arial"/>
                <w:b/>
                <w:bCs/>
                <w:sz w:val="20"/>
              </w:rPr>
              <w:t>ime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C3DE" w:themeFill="background2"/>
            <w:hideMark/>
          </w:tcPr>
          <w:p w14:paraId="46F30D5A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Details/Notes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C3DE" w:themeFill="background2"/>
            <w:hideMark/>
          </w:tcPr>
          <w:p w14:paraId="75541B98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  <w:p w14:paraId="36B3979F" w14:textId="2A967D1E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gramStart"/>
            <w:r w:rsidRPr="00837C9B">
              <w:rPr>
                <w:rFonts w:ascii="Arial" w:hAnsi="Arial" w:cs="Arial"/>
                <w:b/>
                <w:bCs/>
                <w:sz w:val="20"/>
              </w:rPr>
              <w:t>estimate</w:t>
            </w:r>
            <w:r w:rsidR="00837C9B">
              <w:rPr>
                <w:rFonts w:ascii="Arial" w:hAnsi="Arial" w:cs="Arial"/>
                <w:b/>
                <w:bCs/>
                <w:sz w:val="20"/>
              </w:rPr>
              <w:t>d</w:t>
            </w:r>
            <w:proofErr w:type="gramEnd"/>
            <w:r w:rsidRPr="00837C9B">
              <w:rPr>
                <w:rFonts w:ascii="Arial" w:hAnsi="Arial" w:cs="Arial"/>
                <w:b/>
                <w:bCs/>
                <w:sz w:val="20"/>
              </w:rPr>
              <w:t xml:space="preserve"> timeline)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C3DE" w:themeFill="background2"/>
            <w:hideMark/>
          </w:tcPr>
          <w:p w14:paraId="22CC7CEA" w14:textId="4F0F1B16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 xml:space="preserve">End </w:t>
            </w:r>
            <w:r w:rsidR="00837C9B">
              <w:rPr>
                <w:rFonts w:ascii="Arial" w:hAnsi="Arial" w:cs="Arial"/>
                <w:b/>
                <w:bCs/>
                <w:sz w:val="20"/>
              </w:rPr>
              <w:t>d</w:t>
            </w:r>
            <w:r w:rsidRPr="00837C9B">
              <w:rPr>
                <w:rFonts w:ascii="Arial" w:hAnsi="Arial" w:cs="Arial"/>
                <w:b/>
                <w:bCs/>
                <w:sz w:val="20"/>
              </w:rPr>
              <w:t>ate</w:t>
            </w:r>
            <w:r w:rsidR="00837C9B">
              <w:rPr>
                <w:rFonts w:ascii="Arial" w:hAnsi="Arial" w:cs="Arial"/>
                <w:b/>
                <w:bCs/>
                <w:sz w:val="20"/>
              </w:rPr>
              <w:t xml:space="preserve"> and t</w:t>
            </w:r>
            <w:r w:rsidRPr="00837C9B">
              <w:rPr>
                <w:rFonts w:ascii="Arial" w:hAnsi="Arial" w:cs="Arial"/>
                <w:b/>
                <w:bCs/>
                <w:sz w:val="20"/>
              </w:rPr>
              <w:t>ime</w:t>
            </w:r>
          </w:p>
        </w:tc>
      </w:tr>
      <w:tr w:rsidR="00F413C8" w:rsidRPr="00837C9B" w14:paraId="0C51880A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F8D8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156FB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8CDD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2BE2C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6730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08FA29CA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94D1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DDB5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430C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D21E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8991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18C24EC2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E102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1CD2A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88A04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A7CE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2FFA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2CE63523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3726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A25E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C9D6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00D7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19BD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56AD5400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5283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3A6A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D1A4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7851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7917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4C096CE6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6C60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79B1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3479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D024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A1CF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29F407FA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8035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4420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556B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DC2E3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A5036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57AC8A1C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CBED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0F3A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EC87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C352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F72F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21985928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2B51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7F6B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002A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325D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CADE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13B509BD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07FB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07B7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E819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E138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0EE3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13C8" w:rsidRPr="00837C9B" w14:paraId="7D193304" w14:textId="77777777" w:rsidTr="00837C9B">
        <w:trPr>
          <w:trHeight w:val="1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34119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20B7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F502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101C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FFD4" w14:textId="77777777" w:rsidR="00F413C8" w:rsidRPr="00837C9B" w:rsidRDefault="00F413C8" w:rsidP="006222E9">
            <w:pPr>
              <w:pStyle w:val="SoKPolicyThirdLevelConten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837C9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</w:tbl>
    <w:p w14:paraId="4AC719D6" w14:textId="77777777" w:rsidR="00F413C8" w:rsidRPr="00837C9B" w:rsidRDefault="00F413C8" w:rsidP="00F413C8">
      <w:pPr>
        <w:spacing w:after="120"/>
        <w:rPr>
          <w:rFonts w:ascii="Arial" w:hAnsi="Arial" w:cs="Arial"/>
          <w:lang w:val="en-CA" w:eastAsia="en-CA"/>
        </w:rPr>
      </w:pPr>
    </w:p>
    <w:p w14:paraId="5C1FCCD4" w14:textId="77777777" w:rsidR="00F413C8" w:rsidRPr="00837C9B" w:rsidRDefault="00F413C8">
      <w:pPr>
        <w:rPr>
          <w:rFonts w:ascii="Arial" w:hAnsi="Arial" w:cs="Arial"/>
        </w:rPr>
      </w:pPr>
    </w:p>
    <w:sectPr w:rsidR="00F413C8" w:rsidRPr="00837C9B" w:rsidSect="00F80483">
      <w:headerReference w:type="default" r:id="rId8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9312" w14:textId="77777777" w:rsidR="00057B49" w:rsidRDefault="00057B49" w:rsidP="00F413C8">
      <w:pPr>
        <w:spacing w:after="0" w:line="240" w:lineRule="auto"/>
      </w:pPr>
      <w:r>
        <w:separator/>
      </w:r>
    </w:p>
  </w:endnote>
  <w:endnote w:type="continuationSeparator" w:id="0">
    <w:p w14:paraId="44A71F61" w14:textId="77777777" w:rsidR="00057B49" w:rsidRDefault="00057B49" w:rsidP="00F4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E027" w14:textId="77777777" w:rsidR="00057B49" w:rsidRDefault="00057B49" w:rsidP="00F413C8">
      <w:pPr>
        <w:spacing w:after="0" w:line="240" w:lineRule="auto"/>
      </w:pPr>
      <w:r>
        <w:separator/>
      </w:r>
    </w:p>
  </w:footnote>
  <w:footnote w:type="continuationSeparator" w:id="0">
    <w:p w14:paraId="754454AB" w14:textId="77777777" w:rsidR="00057B49" w:rsidRDefault="00057B49" w:rsidP="00F4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7D34" w14:textId="77777777" w:rsidR="00F413C8" w:rsidRPr="00FF6CDB" w:rsidRDefault="00F413C8" w:rsidP="00F413C8">
    <w:pPr>
      <w:pStyle w:val="Heading2"/>
      <w:rPr>
        <w:rFonts w:asciiTheme="minorHAnsi" w:hAnsiTheme="minorHAnsi" w:cstheme="minorHAnsi"/>
      </w:rPr>
    </w:pPr>
    <w:bookmarkStart w:id="1" w:name="_Toc426443343"/>
    <w:r w:rsidRPr="0057449B">
      <w:rPr>
        <w:rFonts w:asciiTheme="minorHAnsi" w:hAnsiTheme="minorHAnsi" w:cstheme="minorHAnsi"/>
        <w:color w:val="05C3DE" w:themeColor="background2"/>
      </w:rPr>
      <w:t xml:space="preserve">[YOUR CLINIC NAME] </w:t>
    </w:r>
    <w:r w:rsidRPr="00FF6CDB">
      <w:rPr>
        <w:rFonts w:asciiTheme="minorHAnsi" w:hAnsiTheme="minorHAnsi" w:cstheme="minorHAnsi"/>
      </w:rPr>
      <w:t>EMR Downtime Contingency Plan</w:t>
    </w:r>
    <w:bookmarkEnd w:id="1"/>
  </w:p>
  <w:p w14:paraId="0A843418" w14:textId="77777777" w:rsidR="00F413C8" w:rsidRPr="00F413C8" w:rsidRDefault="00F413C8" w:rsidP="00F41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6A"/>
    <w:multiLevelType w:val="hybridMultilevel"/>
    <w:tmpl w:val="1DE653A0"/>
    <w:lvl w:ilvl="0" w:tplc="5B7AECE8">
      <w:numFmt w:val="bullet"/>
      <w:lvlText w:val="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D23F4A"/>
    <w:multiLevelType w:val="hybridMultilevel"/>
    <w:tmpl w:val="7F3A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7B6"/>
    <w:multiLevelType w:val="hybridMultilevel"/>
    <w:tmpl w:val="232213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74FEB"/>
    <w:multiLevelType w:val="hybridMultilevel"/>
    <w:tmpl w:val="70D6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1008"/>
    <w:multiLevelType w:val="hybridMultilevel"/>
    <w:tmpl w:val="85A2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408">
    <w:abstractNumId w:val="3"/>
  </w:num>
  <w:num w:numId="2" w16cid:durableId="1861777201">
    <w:abstractNumId w:val="0"/>
  </w:num>
  <w:num w:numId="3" w16cid:durableId="1565875810">
    <w:abstractNumId w:val="1"/>
  </w:num>
  <w:num w:numId="4" w16cid:durableId="627509784">
    <w:abstractNumId w:val="4"/>
  </w:num>
  <w:num w:numId="5" w16cid:durableId="182832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13"/>
    <w:rsid w:val="00057B49"/>
    <w:rsid w:val="0017535D"/>
    <w:rsid w:val="00187E64"/>
    <w:rsid w:val="002024B6"/>
    <w:rsid w:val="00237813"/>
    <w:rsid w:val="0024345E"/>
    <w:rsid w:val="002442EC"/>
    <w:rsid w:val="003B0BDA"/>
    <w:rsid w:val="003B5E4D"/>
    <w:rsid w:val="00440791"/>
    <w:rsid w:val="0047240C"/>
    <w:rsid w:val="00472D2B"/>
    <w:rsid w:val="004B58EC"/>
    <w:rsid w:val="0057449B"/>
    <w:rsid w:val="005B10EA"/>
    <w:rsid w:val="00723ACB"/>
    <w:rsid w:val="00763CF2"/>
    <w:rsid w:val="00837C9B"/>
    <w:rsid w:val="00887012"/>
    <w:rsid w:val="00897D20"/>
    <w:rsid w:val="009952B7"/>
    <w:rsid w:val="009A67A8"/>
    <w:rsid w:val="00B02D8A"/>
    <w:rsid w:val="00B51AED"/>
    <w:rsid w:val="00B905BC"/>
    <w:rsid w:val="00BF7A3D"/>
    <w:rsid w:val="00C752F1"/>
    <w:rsid w:val="00CB5CC8"/>
    <w:rsid w:val="00CF5F2F"/>
    <w:rsid w:val="00D119CF"/>
    <w:rsid w:val="00D26C1A"/>
    <w:rsid w:val="00D62287"/>
    <w:rsid w:val="00DE562D"/>
    <w:rsid w:val="00E34F63"/>
    <w:rsid w:val="00E379BA"/>
    <w:rsid w:val="00E7123D"/>
    <w:rsid w:val="00E94297"/>
    <w:rsid w:val="00F413C8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6CD9B"/>
  <w15:chartTrackingRefBased/>
  <w15:docId w15:val="{8B66C9E6-F0D8-409D-B19E-366DE1F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13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13C8"/>
    <w:pPr>
      <w:keepNext/>
      <w:keepLines/>
      <w:spacing w:before="40" w:after="0"/>
      <w:outlineLvl w:val="1"/>
    </w:pPr>
    <w:rPr>
      <w:color w:val="7C7D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813"/>
    <w:pPr>
      <w:spacing w:before="320" w:after="12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7813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237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813"/>
    <w:rPr>
      <w:color w:val="53565A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813"/>
    <w:rPr>
      <w:rFonts w:asciiTheme="majorHAnsi" w:eastAsiaTheme="majorEastAsia" w:hAnsiTheme="majorHAnsi" w:cstheme="majorBidi"/>
      <w:lang w:val="en-US"/>
    </w:rPr>
  </w:style>
  <w:style w:type="paragraph" w:customStyle="1" w:styleId="SoKPolicyThirdLevelContent">
    <w:name w:val="SoK Policy Third Level Content"/>
    <w:basedOn w:val="Normal"/>
    <w:rsid w:val="00F413C8"/>
    <w:pPr>
      <w:spacing w:after="0" w:line="240" w:lineRule="auto"/>
      <w:ind w:left="1440"/>
    </w:pPr>
    <w:rPr>
      <w:rFonts w:eastAsia="Times New Roman"/>
      <w:sz w:val="24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F41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3C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1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3C8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F413C8"/>
    <w:rPr>
      <w:rFonts w:asciiTheme="majorHAnsi" w:eastAsiaTheme="majorEastAsia" w:hAnsiTheme="majorHAnsi" w:cstheme="majorBidi"/>
      <w:color w:val="7C7D80" w:themeColor="accent1" w:themeShade="BF"/>
      <w:sz w:val="26"/>
      <w:szCs w:val="2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C1A"/>
    <w:rPr>
      <w:rFonts w:asciiTheme="majorHAnsi" w:eastAsiaTheme="majorEastAsia" w:hAnsiTheme="majorHAnsi" w:cstheme="majorBidi"/>
      <w:b/>
      <w:bCs/>
      <w:lang w:val="en-US"/>
    </w:rPr>
  </w:style>
  <w:style w:type="paragraph" w:styleId="Revision">
    <w:name w:val="Revision"/>
    <w:hidden/>
    <w:uiPriority w:val="99"/>
    <w:semiHidden/>
    <w:rsid w:val="005B10EA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4724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B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ctorsofbc.ca/sites/default/files/emr_downtime_contingency_plan_instruc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9CC5CF8AA0466DBE6ABAFE563A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007B0-1690-439C-8D4C-427565E37A44}"/>
      </w:docPartPr>
      <w:docPartBody>
        <w:p w:rsidR="00213372" w:rsidRDefault="00617BF7" w:rsidP="00617BF7">
          <w:pPr>
            <w:pStyle w:val="999CC5CF8AA0466DBE6ABAFE563A46AD"/>
          </w:pPr>
          <w:r w:rsidRPr="0047240C">
            <w:rPr>
              <w:rStyle w:val="PlaceholderText"/>
              <w:color w:val="E7E6E6" w:themeColor="background2"/>
            </w:rPr>
            <w:t>Enter name.</w:t>
          </w:r>
        </w:p>
      </w:docPartBody>
    </w:docPart>
    <w:docPart>
      <w:docPartPr>
        <w:name w:val="2E463A802F9745E9BF20A0C70A7F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AB05-F0BD-4897-ACAE-0AA373E17F21}"/>
      </w:docPartPr>
      <w:docPartBody>
        <w:p w:rsidR="00213372" w:rsidRDefault="00617BF7" w:rsidP="00617BF7">
          <w:pPr>
            <w:pStyle w:val="2E463A802F9745E9BF20A0C70A7FB5C5"/>
          </w:pPr>
          <w:r w:rsidRPr="0047240C">
            <w:rPr>
              <w:rFonts w:asciiTheme="minorHAnsi" w:hAnsiTheme="minorHAnsi" w:cstheme="minorHAnsi"/>
              <w:color w:val="E7E6E6" w:themeColor="background2"/>
            </w:rPr>
            <w:t>List the physical or digital location of copies of this plan.</w:t>
          </w:r>
        </w:p>
      </w:docPartBody>
    </w:docPart>
    <w:docPart>
      <w:docPartPr>
        <w:name w:val="5C8C91D5EB18499782C93843F82C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30ED-A76E-4B51-B7B0-A4C9112EE089}"/>
      </w:docPartPr>
      <w:docPartBody>
        <w:p w:rsidR="00213372" w:rsidRDefault="00617BF7" w:rsidP="00617BF7">
          <w:pPr>
            <w:pStyle w:val="5C8C91D5EB18499782C93843F82CC178"/>
          </w:pPr>
          <w:r w:rsidRPr="0047240C">
            <w:rPr>
              <w:rStyle w:val="PlaceholderText"/>
              <w:color w:val="E7E6E6" w:themeColor="background2"/>
            </w:rPr>
            <w:t>Click to enter a date.</w:t>
          </w:r>
        </w:p>
      </w:docPartBody>
    </w:docPart>
    <w:docPart>
      <w:docPartPr>
        <w:name w:val="03E627ECEBFD4D0DA8B10FE2527E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F48E-CAF7-411A-9844-AA64C5A6DB65}"/>
      </w:docPartPr>
      <w:docPartBody>
        <w:p w:rsidR="00213372" w:rsidRDefault="00617BF7" w:rsidP="00617BF7">
          <w:pPr>
            <w:pStyle w:val="03E627ECEBFD4D0DA8B10FE2527E0B4B"/>
          </w:pPr>
          <w:r w:rsidRPr="0047240C">
            <w:rPr>
              <w:rStyle w:val="PlaceholderText"/>
              <w:color w:val="E7E6E6" w:themeColor="background2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F7"/>
    <w:rsid w:val="000E012C"/>
    <w:rsid w:val="00213372"/>
    <w:rsid w:val="00617BF7"/>
    <w:rsid w:val="006A7091"/>
    <w:rsid w:val="00BC5B56"/>
    <w:rsid w:val="00E7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BF7"/>
    <w:rPr>
      <w:color w:val="808080"/>
    </w:rPr>
  </w:style>
  <w:style w:type="paragraph" w:customStyle="1" w:styleId="999CC5CF8AA0466DBE6ABAFE563A46AD">
    <w:name w:val="999CC5CF8AA0466DBE6ABAFE563A46AD"/>
    <w:rsid w:val="00617BF7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customStyle="1" w:styleId="2E463A802F9745E9BF20A0C70A7FB5C5">
    <w:name w:val="2E463A802F9745E9BF20A0C70A7FB5C5"/>
    <w:rsid w:val="00617BF7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customStyle="1" w:styleId="5C8C91D5EB18499782C93843F82CC178">
    <w:name w:val="5C8C91D5EB18499782C93843F82CC178"/>
    <w:rsid w:val="00617BF7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customStyle="1" w:styleId="03E627ECEBFD4D0DA8B10FE2527E0B4B">
    <w:name w:val="03E627ECEBFD4D0DA8B10FE2527E0B4B"/>
    <w:rsid w:val="00617BF7"/>
    <w:pPr>
      <w:spacing w:after="200" w:line="276" w:lineRule="auto"/>
    </w:pPr>
    <w:rPr>
      <w:rFonts w:asciiTheme="majorHAnsi" w:eastAsiaTheme="majorEastAsia" w:hAnsiTheme="majorHAnsi" w:cstheme="majorBid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640</Words>
  <Characters>3652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2</cp:revision>
  <dcterms:created xsi:type="dcterms:W3CDTF">2023-03-03T21:42:00Z</dcterms:created>
  <dcterms:modified xsi:type="dcterms:W3CDTF">2023-03-03T21:42:00Z</dcterms:modified>
</cp:coreProperties>
</file>