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2340" w14:textId="09D94900" w:rsidR="009E77EF" w:rsidRDefault="009E77EF" w:rsidP="0083475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AA3B24" w14:paraId="73A61E93" w14:textId="77777777" w:rsidTr="000B5E00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5A3D1045" w14:textId="7772E907" w:rsidR="00AA3B24" w:rsidRDefault="00FA7F28" w:rsidP="00AA3B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Sample </w:t>
            </w:r>
            <w:r w:rsidR="008E41E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Remote Work Policy</w:t>
            </w:r>
          </w:p>
        </w:tc>
      </w:tr>
      <w:bookmarkEnd w:id="0"/>
    </w:tbl>
    <w:p w14:paraId="7D8DD627" w14:textId="006279A3" w:rsidR="00FA7F28" w:rsidRDefault="00FA7F28" w:rsidP="00FA7F2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4C47C8" w:rsidRPr="004C47C8" w14:paraId="028FDB15" w14:textId="77777777" w:rsidTr="004C47C8">
        <w:trPr>
          <w:trHeight w:val="1295"/>
        </w:trPr>
        <w:tc>
          <w:tcPr>
            <w:tcW w:w="9350" w:type="dxa"/>
            <w:shd w:val="clear" w:color="auto" w:fill="05C3DE" w:themeFill="background2"/>
          </w:tcPr>
          <w:p w14:paraId="52F65FAD" w14:textId="77777777" w:rsidR="008E41EF" w:rsidRPr="004C47C8" w:rsidRDefault="008E41EF" w:rsidP="008E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47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The Sample Remote Work Policy below provides guidelines for the overall remote working program.</w:t>
            </w:r>
          </w:p>
          <w:p w14:paraId="50C161D0" w14:textId="5B439F38" w:rsidR="008E41EF" w:rsidRPr="004C47C8" w:rsidRDefault="008E41EF" w:rsidP="008E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4C47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This is a sample only and is not intended as legal advice.</w:t>
            </w:r>
          </w:p>
          <w:p w14:paraId="4C400DC5" w14:textId="77777777" w:rsidR="008E41EF" w:rsidRPr="004C47C8" w:rsidRDefault="008E41EF" w:rsidP="008E41E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25D24CF8" w14:textId="77777777" w:rsidR="008E41EF" w:rsidRPr="004C47C8" w:rsidRDefault="008E41EF" w:rsidP="008E41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4C47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Disclaimer: This document is offered as a conceptual sample. Your own document should reflect your clinic's</w:t>
            </w:r>
          </w:p>
          <w:p w14:paraId="0FDF88DC" w14:textId="77777777" w:rsidR="008E41EF" w:rsidRPr="004C47C8" w:rsidRDefault="008E41EF" w:rsidP="008E41E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C47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policies as well as local, provincial, and federal regulations. Be sure to consult an attorney familiar with</w:t>
            </w:r>
          </w:p>
          <w:p w14:paraId="3724319B" w14:textId="0D920D55" w:rsidR="008E41EF" w:rsidRPr="004C47C8" w:rsidRDefault="008E41EF" w:rsidP="008E41EF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4C47C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employment law before using any such document.</w:t>
            </w:r>
          </w:p>
        </w:tc>
      </w:tr>
    </w:tbl>
    <w:p w14:paraId="69EE43B7" w14:textId="2B1A05F9" w:rsidR="00C512F2" w:rsidRDefault="00C512F2" w:rsidP="00512420">
      <w:pPr>
        <w:rPr>
          <w:rFonts w:ascii="Arial" w:hAnsi="Arial" w:cs="Arial"/>
          <w:sz w:val="20"/>
          <w:szCs w:val="20"/>
        </w:rPr>
      </w:pPr>
    </w:p>
    <w:p w14:paraId="7B446D63" w14:textId="085AD9E6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Remote working is the concept of working from home or another location on a full- or part-time basis. Remote working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is not a formal, universal employee benefit. Rather, it is an alternative method of meeting the needs of the clinic and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employee. The clinic has the right to refuse to make remote working available to an employee and to terminate a remote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working arrangement at any time.</w:t>
      </w:r>
    </w:p>
    <w:p w14:paraId="0B2561FC" w14:textId="77777777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The clinic's policies for remote working are as follows:</w:t>
      </w:r>
    </w:p>
    <w:p w14:paraId="342CAD21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Compensation and Work Hours</w:t>
      </w:r>
    </w:p>
    <w:p w14:paraId="2A1E6EA0" w14:textId="1C8A434B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The employee’s compensation, benefits, work status and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work responsibilities will not change due to participation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in the remote working program.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amount of time the employee is expected to work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per day or pay period will not change as a result of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participation in the remote working program.</w:t>
      </w:r>
    </w:p>
    <w:p w14:paraId="6C86A6F8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Eligibility</w:t>
      </w:r>
    </w:p>
    <w:p w14:paraId="3AD04530" w14:textId="0EA03D83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Successful remote workers have the support of their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supervisors. Employees will be selected based on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suitability of their jobs, an evaluation of the likelihood of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their being successful remote workers, and an evaluation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of their supervisor’s ability to manage remote workers.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Upon acceptance to the program both the employee and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manager will be expected to complete a training course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designed to prepare them for the remote working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experience. All remote workers must sign an agreement.</w:t>
      </w:r>
    </w:p>
    <w:p w14:paraId="62FB1E13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Equipment/Tools</w:t>
      </w:r>
    </w:p>
    <w:p w14:paraId="1067AF8C" w14:textId="0F620CDF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The clinic may provide specific tools/equipment for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 to perform their current duties. This may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include computer hardware, computer software, phone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lines, email, voice-mail, connectivity to host applications,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and other applicable equipment as deemed necessary.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use of equipment, software, data supplies and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furniture when provided by the company for use at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remote work location is limited to authorized persons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and for purposes relating to clinic business. The clinic will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provide for repairs to clinic equipment.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When the employee uses their own equipment,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 is responsible for maintenance and repair of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equipment.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A loaner laptop may be provided when available. Loaner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computers will vary in performance and configuration.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Loaners must be returned upon request.</w:t>
      </w:r>
    </w:p>
    <w:p w14:paraId="74C64AA0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Workspace</w:t>
      </w:r>
    </w:p>
    <w:p w14:paraId="63485894" w14:textId="00658A90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The employee shall designate a workspace within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remote work location for placement and installation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of equipment to be used while remote working.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 shall maintain this workspace in a safe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condition, free from hazards and other dangers to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 and equipment. The clinic must approve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site chosen as the employee’s remote workspace.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Any clinic materials taken home should be kept in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designated work area at home and not be made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accessible to others.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clinic has the right to make on-site visits (with 48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hours advance notice) to the remote work location for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 xml:space="preserve">purposes of determining that </w:t>
      </w:r>
      <w:r w:rsidRPr="00B827F9">
        <w:rPr>
          <w:rFonts w:ascii="Arial" w:hAnsi="Arial" w:cs="Arial"/>
          <w:sz w:val="20"/>
          <w:szCs w:val="20"/>
        </w:rPr>
        <w:lastRenderedPageBreak/>
        <w:t>the site is safe and free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from hazards, and to maintain, repair, inspect, or retrieve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clinic-owned equipment, software, data or supplies.</w:t>
      </w:r>
    </w:p>
    <w:p w14:paraId="697B0F90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Office Supplies</w:t>
      </w:r>
    </w:p>
    <w:p w14:paraId="0A8C10E1" w14:textId="0B8610A5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Office supplies will be provided by the clinic as needed.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Out-of-pocket expenses for other supplies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will not be reimbursed unless by prior approval of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employee’s manager.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It will be the employee’s responsibility to determine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any tax implications of maintaining a home office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area. The clinic will not provide tax guidance nor will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clinic assume any additional tax liabilities. Employees are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encouraged to consult with a qualified tax professional to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discuss tax implications.</w:t>
      </w:r>
    </w:p>
    <w:p w14:paraId="3A702B41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Communication</w:t>
      </w:r>
    </w:p>
    <w:p w14:paraId="3DE0214C" w14:textId="2496522C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Employees must be available by phone and email during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core hours. All client interactions will be conducted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on a client or clinic site. Employees will still be available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for staff meetings, and other meetings deemed necessary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by management.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clinic will pay work-related voice and data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communication charges</w:t>
      </w:r>
    </w:p>
    <w:p w14:paraId="5A6A3713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Evaluation</w:t>
      </w:r>
    </w:p>
    <w:p w14:paraId="542C6FFB" w14:textId="01700372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The employee shall agree to participate in all studies,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inquiries, reports and analyses relating to this program.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employee remains obligated to comply with all clinic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rules, practices and instructions.</w:t>
      </w:r>
    </w:p>
    <w:p w14:paraId="2EC96687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Worker’s Compensation</w:t>
      </w:r>
    </w:p>
    <w:p w14:paraId="0D3F3597" w14:textId="05FF876C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During work hours and while performing work functions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in the designated remote work area, remote workers are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covered by worker’s compensation.</w:t>
      </w:r>
    </w:p>
    <w:p w14:paraId="4CF78778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Liability</w:t>
      </w:r>
    </w:p>
    <w:p w14:paraId="1C307241" w14:textId="4A0C25FD" w:rsidR="00B827F9" w:rsidRP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The employee’s remote workspace will be considered an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extension of the clinic's workspace. Therefore, the clinic will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continue to be liable for job-related accidents that occur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in the employee’s remote workspace during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employee’s working hours.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clinic will be liable for injuries or illnesses that occur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during the employee’s agreed-upon work hours.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employee’s at-home work hours will conform to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a schedule agreed upon by the employee and their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supervisor. If such a schedule has not been agreed upon,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employee’s work hours will be assumed to be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same as before the employee began remote working.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clinic assumes no liability for injuries occurring in the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employee’s remote workspace outside the agreed-upon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work hours.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The clinic is not liable for loss, destruction, or injury that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may occur in or to the employee’s home. This includes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family members, visitors, or others that may become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injured within or around the employee’s home.</w:t>
      </w:r>
    </w:p>
    <w:p w14:paraId="099BD83F" w14:textId="77777777" w:rsidR="00B827F9" w:rsidRPr="00011694" w:rsidRDefault="00B827F9" w:rsidP="00B827F9">
      <w:pPr>
        <w:rPr>
          <w:rFonts w:ascii="Arial" w:hAnsi="Arial" w:cs="Arial"/>
          <w:b/>
          <w:bCs/>
          <w:color w:val="05C3DE" w:themeColor="background2"/>
          <w:sz w:val="20"/>
          <w:szCs w:val="20"/>
        </w:rPr>
      </w:pPr>
      <w:r w:rsidRPr="00011694">
        <w:rPr>
          <w:rFonts w:ascii="Arial" w:hAnsi="Arial" w:cs="Arial"/>
          <w:b/>
          <w:bCs/>
          <w:color w:val="05C3DE" w:themeColor="background2"/>
          <w:sz w:val="20"/>
          <w:szCs w:val="20"/>
        </w:rPr>
        <w:t>Dependent Care</w:t>
      </w:r>
    </w:p>
    <w:p w14:paraId="2063E0C6" w14:textId="6D07E557" w:rsidR="00B827F9" w:rsidRDefault="00B827F9" w:rsidP="00B827F9">
      <w:pPr>
        <w:rPr>
          <w:rFonts w:ascii="Arial" w:hAnsi="Arial" w:cs="Arial"/>
          <w:sz w:val="20"/>
          <w:szCs w:val="20"/>
        </w:rPr>
      </w:pPr>
      <w:r w:rsidRPr="00B827F9">
        <w:rPr>
          <w:rFonts w:ascii="Arial" w:hAnsi="Arial" w:cs="Arial"/>
          <w:sz w:val="20"/>
          <w:szCs w:val="20"/>
        </w:rPr>
        <w:t>Remote working is not a substitute for dependent care.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Remote workers will not be available during clinic core</w:t>
      </w:r>
      <w:r>
        <w:rPr>
          <w:rFonts w:ascii="Arial" w:hAnsi="Arial" w:cs="Arial"/>
          <w:sz w:val="20"/>
          <w:szCs w:val="20"/>
        </w:rPr>
        <w:t xml:space="preserve"> </w:t>
      </w:r>
      <w:r w:rsidRPr="00B827F9">
        <w:rPr>
          <w:rFonts w:ascii="Arial" w:hAnsi="Arial" w:cs="Arial"/>
          <w:sz w:val="20"/>
          <w:szCs w:val="20"/>
        </w:rPr>
        <w:t>hours to provide dependent care.</w:t>
      </w:r>
    </w:p>
    <w:sectPr w:rsidR="00B827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3BE8" w14:textId="77777777" w:rsidR="00197447" w:rsidRDefault="00197447" w:rsidP="00197447">
      <w:pPr>
        <w:spacing w:after="0" w:line="240" w:lineRule="auto"/>
      </w:pPr>
      <w:r>
        <w:separator/>
      </w:r>
    </w:p>
  </w:endnote>
  <w:endnote w:type="continuationSeparator" w:id="0">
    <w:p w14:paraId="4A014DD6" w14:textId="77777777" w:rsidR="00197447" w:rsidRDefault="00197447" w:rsidP="0019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EDD7" w14:textId="77777777" w:rsidR="00197447" w:rsidRDefault="00197447" w:rsidP="00197447">
      <w:pPr>
        <w:spacing w:after="0" w:line="240" w:lineRule="auto"/>
      </w:pPr>
      <w:r>
        <w:separator/>
      </w:r>
    </w:p>
  </w:footnote>
  <w:footnote w:type="continuationSeparator" w:id="0">
    <w:p w14:paraId="1C1F0FEF" w14:textId="77777777" w:rsidR="00197447" w:rsidRDefault="00197447" w:rsidP="0019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B6FF" w14:textId="68CE5F35" w:rsidR="00197447" w:rsidRDefault="00197447">
    <w:pPr>
      <w:pStyle w:val="Header"/>
    </w:pPr>
    <w:r>
      <w:t>[</w:t>
    </w:r>
    <w:r w:rsidR="004A610C" w:rsidRPr="004A610C">
      <w:t>ORGANIZATIONAL LOGO</w:t>
    </w:r>
    <w:r>
      <w:t>]</w:t>
    </w:r>
  </w:p>
  <w:p w14:paraId="376D62A4" w14:textId="77777777" w:rsidR="00197447" w:rsidRDefault="00197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19"/>
    <w:multiLevelType w:val="hybridMultilevel"/>
    <w:tmpl w:val="515C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6F28"/>
    <w:multiLevelType w:val="hybridMultilevel"/>
    <w:tmpl w:val="E97AA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A99"/>
    <w:multiLevelType w:val="hybridMultilevel"/>
    <w:tmpl w:val="8F8A3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473"/>
    <w:multiLevelType w:val="hybridMultilevel"/>
    <w:tmpl w:val="C5DE4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34711328">
    <w:abstractNumId w:val="0"/>
  </w:num>
  <w:num w:numId="2" w16cid:durableId="1051811176">
    <w:abstractNumId w:val="3"/>
  </w:num>
  <w:num w:numId="3" w16cid:durableId="155075690">
    <w:abstractNumId w:val="1"/>
  </w:num>
  <w:num w:numId="4" w16cid:durableId="128681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EF"/>
    <w:rsid w:val="00011694"/>
    <w:rsid w:val="00057745"/>
    <w:rsid w:val="000B4290"/>
    <w:rsid w:val="000B5E00"/>
    <w:rsid w:val="000E6959"/>
    <w:rsid w:val="001138D8"/>
    <w:rsid w:val="00130261"/>
    <w:rsid w:val="00197447"/>
    <w:rsid w:val="001D17A3"/>
    <w:rsid w:val="001D4818"/>
    <w:rsid w:val="00360680"/>
    <w:rsid w:val="003C24E1"/>
    <w:rsid w:val="003D3ACB"/>
    <w:rsid w:val="003E4E71"/>
    <w:rsid w:val="00400866"/>
    <w:rsid w:val="00410D77"/>
    <w:rsid w:val="0044380A"/>
    <w:rsid w:val="00476E1F"/>
    <w:rsid w:val="004861B8"/>
    <w:rsid w:val="004A610C"/>
    <w:rsid w:val="004B5DD3"/>
    <w:rsid w:val="004C39DD"/>
    <w:rsid w:val="004C47C8"/>
    <w:rsid w:val="004E285E"/>
    <w:rsid w:val="00505E8B"/>
    <w:rsid w:val="00512420"/>
    <w:rsid w:val="00521C7F"/>
    <w:rsid w:val="0057283F"/>
    <w:rsid w:val="00584BF9"/>
    <w:rsid w:val="00585272"/>
    <w:rsid w:val="005E444C"/>
    <w:rsid w:val="005E6A9D"/>
    <w:rsid w:val="00610780"/>
    <w:rsid w:val="00675F83"/>
    <w:rsid w:val="00676403"/>
    <w:rsid w:val="00677CD9"/>
    <w:rsid w:val="00681208"/>
    <w:rsid w:val="00727791"/>
    <w:rsid w:val="00755C9D"/>
    <w:rsid w:val="00787B82"/>
    <w:rsid w:val="007A367B"/>
    <w:rsid w:val="0080294B"/>
    <w:rsid w:val="00812BB3"/>
    <w:rsid w:val="0081586B"/>
    <w:rsid w:val="00834755"/>
    <w:rsid w:val="0085357A"/>
    <w:rsid w:val="008A7F09"/>
    <w:rsid w:val="008E41EF"/>
    <w:rsid w:val="008E45DC"/>
    <w:rsid w:val="008F04E6"/>
    <w:rsid w:val="008F32E8"/>
    <w:rsid w:val="008F545C"/>
    <w:rsid w:val="00933C27"/>
    <w:rsid w:val="00967B8B"/>
    <w:rsid w:val="009A7F2A"/>
    <w:rsid w:val="009E77EF"/>
    <w:rsid w:val="00A94DDE"/>
    <w:rsid w:val="00AA3B24"/>
    <w:rsid w:val="00AB4889"/>
    <w:rsid w:val="00AB634B"/>
    <w:rsid w:val="00AD3B09"/>
    <w:rsid w:val="00B70EE0"/>
    <w:rsid w:val="00B827F9"/>
    <w:rsid w:val="00BA15EE"/>
    <w:rsid w:val="00C50A45"/>
    <w:rsid w:val="00C512F2"/>
    <w:rsid w:val="00D32EBE"/>
    <w:rsid w:val="00D7771B"/>
    <w:rsid w:val="00D8666F"/>
    <w:rsid w:val="00E50D63"/>
    <w:rsid w:val="00E5541E"/>
    <w:rsid w:val="00E8668A"/>
    <w:rsid w:val="00F04F69"/>
    <w:rsid w:val="00F1178A"/>
    <w:rsid w:val="00FA7F28"/>
    <w:rsid w:val="00FB470E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A4B0A7"/>
  <w15:chartTrackingRefBased/>
  <w15:docId w15:val="{FF3E91A0-FBBA-408D-871C-D28FE6A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47"/>
  </w:style>
  <w:style w:type="paragraph" w:styleId="Footer">
    <w:name w:val="footer"/>
    <w:basedOn w:val="Normal"/>
    <w:link w:val="FooterChar"/>
    <w:uiPriority w:val="99"/>
    <w:unhideWhenUsed/>
    <w:rsid w:val="0019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47"/>
  </w:style>
  <w:style w:type="character" w:styleId="PlaceholderText">
    <w:name w:val="Placeholder Text"/>
    <w:basedOn w:val="DefaultParagraphFont"/>
    <w:uiPriority w:val="99"/>
    <w:semiHidden/>
    <w:rsid w:val="00610780"/>
    <w:rPr>
      <w:color w:val="808080"/>
    </w:rPr>
  </w:style>
  <w:style w:type="paragraph" w:styleId="ListParagraph">
    <w:name w:val="List Paragraph"/>
    <w:basedOn w:val="Normal"/>
    <w:uiPriority w:val="34"/>
    <w:qFormat/>
    <w:rsid w:val="00FB470E"/>
    <w:pPr>
      <w:ind w:left="720"/>
      <w:contextualSpacing/>
    </w:pPr>
  </w:style>
  <w:style w:type="paragraph" w:customStyle="1" w:styleId="Default">
    <w:name w:val="Default"/>
    <w:rsid w:val="00A94DD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F758-49AF-4D77-9608-E35F8EE9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6</cp:revision>
  <dcterms:created xsi:type="dcterms:W3CDTF">2022-06-16T18:30:00Z</dcterms:created>
  <dcterms:modified xsi:type="dcterms:W3CDTF">2022-06-16T18:39:00Z</dcterms:modified>
</cp:coreProperties>
</file>